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 xml:space="preserve">507184                                                          </w:t>
      </w:r>
    </w:p>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7.21.4</w:t>
      </w:r>
      <w:bookmarkStart w:id="6" w:name="_GoBack"/>
      <w:bookmarkEnd w:id="6"/>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宋体"/>
                <w:szCs w:val="20"/>
                <w:lang w:eastAsia="zh-CN"/>
              </w:rPr>
            </w:pPr>
            <w:r>
              <w:rPr>
                <w:rFonts w:eastAsia="Yu Mincho"/>
                <w:lang w:eastAsia="ja-JP"/>
              </w:rPr>
              <w:t>Temporal DL beam prediction</w:t>
            </w: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RSRP Accuracy (option 1)</w:t>
      </w:r>
    </w:p>
    <w:p>
      <w:pPr>
        <w:rPr>
          <w:rFonts w:hint="eastAsia"/>
          <w:lang w:val="en-US" w:eastAsia="zh-CN"/>
        </w:rPr>
      </w:pPr>
      <w:r>
        <w:rPr>
          <w:rFonts w:hint="eastAsia"/>
          <w:lang w:val="en-US" w:eastAsia="zh-CN"/>
        </w:rPr>
        <w:t>RAN4 has discussed several meetings on how to define the RSRP accuracy, including the absolute RSRP accuracy and the relative RSRP accuracy. In RAN4 #112bis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2"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2"/>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In the last meeting, RAN4 has eventually reached the agreement on defining the relative RSRP accuracy requirements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b/>
                <w:bCs/>
                <w:szCs w:val="24"/>
                <w:lang w:eastAsia="zh-CN"/>
              </w:rPr>
            </w:pPr>
            <w:r>
              <w:rPr>
                <w:rFonts w:hint="eastAsia"/>
                <w:b/>
                <w:bCs/>
                <w:szCs w:val="24"/>
                <w:lang w:eastAsia="zh-CN"/>
              </w:rPr>
              <w:t>A</w:t>
            </w:r>
            <w:r>
              <w:rPr>
                <w:b/>
                <w:bCs/>
                <w:szCs w:val="24"/>
                <w:lang w:eastAsia="zh-CN"/>
              </w:rPr>
              <w:t>greement:</w:t>
            </w:r>
          </w:p>
          <w:p>
            <w:pPr>
              <w:pStyle w:val="31"/>
              <w:numPr>
                <w:ilvl w:val="0"/>
                <w:numId w:val="10"/>
              </w:numPr>
              <w:overflowPunct w:val="0"/>
              <w:autoSpaceDE w:val="0"/>
              <w:autoSpaceDN w:val="0"/>
              <w:adjustRightInd w:val="0"/>
              <w:spacing w:after="120"/>
              <w:ind w:left="426" w:firstLineChars="0"/>
              <w:textAlignment w:val="baseline"/>
              <w:rPr>
                <w:szCs w:val="24"/>
                <w:lang w:eastAsia="zh-CN"/>
              </w:rPr>
            </w:pPr>
            <w:r>
              <w:rPr>
                <w:szCs w:val="24"/>
                <w:lang w:eastAsia="zh-CN"/>
              </w:rPr>
              <w:t>RAN4 to use the follow as baseline for further discussions, if the relative RSRP accuracy requirement is defined</w:t>
            </w:r>
          </w:p>
          <w:p>
            <w:pPr>
              <w:pStyle w:val="31"/>
              <w:numPr>
                <w:ilvl w:val="1"/>
                <w:numId w:val="10"/>
              </w:numPr>
              <w:overflowPunct w:val="0"/>
              <w:autoSpaceDE w:val="0"/>
              <w:autoSpaceDN w:val="0"/>
              <w:adjustRightInd w:val="0"/>
              <w:spacing w:after="120"/>
              <w:ind w:left="851" w:firstLineChars="0"/>
              <w:textAlignment w:val="baseline"/>
              <w:rPr>
                <w:szCs w:val="24"/>
                <w:lang w:eastAsia="zh-CN"/>
              </w:rPr>
            </w:pPr>
            <w:r>
              <w:rPr>
                <w:rFonts w:eastAsia="游明朝"/>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pPr>
              <w:pStyle w:val="31"/>
              <w:numPr>
                <w:ilvl w:val="2"/>
                <w:numId w:val="10"/>
              </w:numPr>
              <w:overflowPunct w:val="0"/>
              <w:autoSpaceDE w:val="0"/>
              <w:autoSpaceDN w:val="0"/>
              <w:adjustRightInd w:val="0"/>
              <w:spacing w:after="120"/>
              <w:ind w:left="1276" w:firstLineChars="0"/>
              <w:textAlignment w:val="baseline"/>
              <w:rPr>
                <w:szCs w:val="24"/>
                <w:lang w:eastAsia="zh-CN"/>
              </w:rPr>
            </w:pPr>
            <w:r>
              <w:rPr>
                <w:rFonts w:hint="eastAsia" w:eastAsia="游明朝"/>
                <w:szCs w:val="24"/>
                <w:lang w:eastAsia="ja-JP"/>
              </w:rPr>
              <w:t>R</w:t>
            </w:r>
            <w:r>
              <w:rPr>
                <w:rFonts w:eastAsia="游明朝"/>
                <w:szCs w:val="24"/>
                <w:lang w:eastAsia="ja-JP"/>
              </w:rPr>
              <w:t xml:space="preserve">eported L1-RSRP can be predicted, </w:t>
            </w:r>
          </w:p>
          <w:p>
            <w:pPr>
              <w:pStyle w:val="31"/>
              <w:numPr>
                <w:ilvl w:val="2"/>
                <w:numId w:val="10"/>
              </w:numPr>
              <w:overflowPunct w:val="0"/>
              <w:autoSpaceDE w:val="0"/>
              <w:autoSpaceDN w:val="0"/>
              <w:adjustRightInd w:val="0"/>
              <w:spacing w:after="120"/>
              <w:ind w:left="1276" w:firstLineChars="0"/>
              <w:textAlignment w:val="baseline"/>
              <w:rPr>
                <w:szCs w:val="24"/>
                <w:lang w:eastAsia="zh-CN"/>
              </w:rPr>
            </w:pPr>
            <w:r>
              <w:rPr>
                <w:rFonts w:eastAsia="游明朝"/>
                <w:szCs w:val="24"/>
                <w:lang w:eastAsia="ja-JP"/>
              </w:rPr>
              <w:t>FFS whether reported L1-RSRP can be measured RSRP</w:t>
            </w:r>
          </w:p>
          <w:p>
            <w:pPr>
              <w:pStyle w:val="31"/>
              <w:numPr>
                <w:ilvl w:val="1"/>
                <w:numId w:val="10"/>
              </w:numPr>
              <w:overflowPunct w:val="0"/>
              <w:autoSpaceDE w:val="0"/>
              <w:autoSpaceDN w:val="0"/>
              <w:adjustRightInd w:val="0"/>
              <w:spacing w:after="120"/>
              <w:ind w:left="851" w:firstLineChars="0"/>
              <w:textAlignment w:val="baseline"/>
              <w:rPr>
                <w:rFonts w:hint="default"/>
                <w:vertAlign w:val="baseline"/>
                <w:lang w:val="en-US" w:eastAsia="zh-CN"/>
              </w:rPr>
            </w:pPr>
            <w:r>
              <w:rPr>
                <w:rFonts w:hint="eastAsia" w:eastAsia="游明朝"/>
                <w:szCs w:val="24"/>
                <w:lang w:eastAsia="zh-CN"/>
              </w:rPr>
              <w:t>R</w:t>
            </w:r>
            <w:r>
              <w:rPr>
                <w:rFonts w:eastAsia="游明朝"/>
                <w:szCs w:val="24"/>
                <w:lang w:eastAsia="zh-CN"/>
              </w:rPr>
              <w:t>elative RSRP accuracy requirements apply for Case 1, and FFS on whether it can apply for Case 2</w:t>
            </w:r>
          </w:p>
        </w:tc>
      </w:tr>
    </w:tbl>
    <w:p>
      <w:pPr>
        <w:jc w:val="both"/>
        <w:rPr>
          <w:rFonts w:hint="eastAsia"/>
          <w:lang w:val="en-US" w:eastAsia="zh-CN"/>
        </w:rPr>
      </w:pPr>
      <w:r>
        <w:rPr>
          <w:rFonts w:hint="eastAsia"/>
          <w:lang w:val="en-US" w:eastAsia="zh-CN"/>
        </w:rPr>
        <w:t>We know that this metric refers to AI mobility, the relative RSRP accuracy in AI mobility is cell level but in AI beam is the beam level. The whole principle for defining relative RSRP accuracy is that the predicted L1-RSRP minus ground truth beams which is similar to legacy definition: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3"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3"/>
          </w:p>
        </w:tc>
      </w:tr>
    </w:tbl>
    <w:p>
      <w:pPr>
        <w:jc w:val="both"/>
        <w:rPr>
          <w:rFonts w:hint="eastAsia"/>
          <w:lang w:val="en-US" w:eastAsia="zh-CN"/>
        </w:rPr>
      </w:pPr>
      <w:r>
        <w:rPr>
          <w:rFonts w:hint="eastAsia"/>
          <w:lang w:val="en-US" w:eastAsia="zh-CN"/>
        </w:rPr>
        <w:t>From our perspective, the reported L1-RSRP shall be predicted RSRP not the measured RSRP. If the reported L1-RSRP is reported measured RSRP, this components will disappear based on current formulation which is not reasonable. Consequently, the reported L1-RSRP shall be reported predicted L1-RSRP not the measured RSRP.</w:t>
      </w:r>
    </w:p>
    <w:p>
      <w:pPr>
        <w:jc w:val="both"/>
        <w:rPr>
          <w:rFonts w:hint="eastAsia"/>
          <w:b/>
          <w:bCs/>
          <w:lang w:val="en-US" w:eastAsia="zh-CN"/>
        </w:rPr>
      </w:pPr>
      <w:r>
        <w:rPr>
          <w:rFonts w:hint="eastAsia"/>
          <w:b/>
          <w:bCs/>
          <w:lang w:val="en-US" w:eastAsia="zh-CN"/>
        </w:rPr>
        <w:t xml:space="preserve">Observation 5: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6: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3: The reported L1-RSRP shall be reported predicted L1-RSRP not the measured RSRP.</w:t>
      </w:r>
    </w:p>
    <w:p>
      <w:pPr>
        <w:pStyle w:val="4"/>
        <w:spacing w:before="120" w:after="120" w:line="240" w:lineRule="auto"/>
        <w:jc w:val="both"/>
        <w:rPr>
          <w:rFonts w:hint="eastAsia"/>
          <w:sz w:val="20"/>
          <w:szCs w:val="20"/>
          <w:lang w:val="en-US" w:eastAsia="zh-CN"/>
        </w:rPr>
      </w:pPr>
      <w:r>
        <w:rPr>
          <w:rFonts w:hint="eastAsia"/>
          <w:sz w:val="20"/>
          <w:szCs w:val="20"/>
          <w:lang w:val="en-US" w:eastAsia="zh-CN"/>
        </w:rPr>
        <w:t>2.1.3 Beam Prediction Accuracy (option 3)</w:t>
      </w:r>
    </w:p>
    <w:p>
      <w:pPr>
        <w:rPr>
          <w:rFonts w:hint="eastAsia"/>
          <w:lang w:val="en-US" w:eastAsia="zh-CN"/>
        </w:rPr>
      </w:pPr>
      <w:r>
        <w:rPr>
          <w:rFonts w:hint="eastAsia"/>
          <w:lang w:val="en-US" w:eastAsia="zh-CN"/>
        </w:rPr>
        <w:t>In the last meeting, we spent lots of time on discussion of beam prediction accuracy, the agreement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b/>
                <w:bCs/>
                <w:iCs/>
                <w:lang w:eastAsia="zh-CN"/>
              </w:rPr>
            </w:pPr>
            <w:r>
              <w:rPr>
                <w:rFonts w:hint="eastAsia"/>
                <w:b/>
                <w:bCs/>
                <w:iCs/>
                <w:lang w:eastAsia="zh-CN"/>
              </w:rPr>
              <w:t>A</w:t>
            </w:r>
            <w:r>
              <w:rPr>
                <w:b/>
                <w:bCs/>
                <w:iCs/>
                <w:lang w:eastAsia="zh-CN"/>
              </w:rPr>
              <w:t>greement:</w:t>
            </w:r>
          </w:p>
          <w:p>
            <w:pPr>
              <w:pStyle w:val="31"/>
              <w:numPr>
                <w:ilvl w:val="0"/>
                <w:numId w:val="11"/>
              </w:numPr>
              <w:overflowPunct w:val="0"/>
              <w:autoSpaceDE w:val="0"/>
              <w:autoSpaceDN w:val="0"/>
              <w:adjustRightInd w:val="0"/>
              <w:ind w:firstLineChars="0"/>
              <w:textAlignment w:val="baseline"/>
              <w:rPr>
                <w:rFonts w:eastAsia="游明朝"/>
                <w:bCs/>
                <w:iCs/>
                <w:lang w:eastAsia="ja-JP"/>
              </w:rPr>
            </w:pPr>
            <w:r>
              <w:rPr>
                <w:bCs/>
                <w:lang w:eastAsia="ko-KR"/>
              </w:rPr>
              <w:t xml:space="preserve">Metrics/KPIs for </w:t>
            </w:r>
            <w:r>
              <w:rPr>
                <w:rFonts w:hint="eastAsia" w:eastAsia="游明朝"/>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pPr>
              <w:pStyle w:val="31"/>
              <w:ind w:left="420" w:firstLine="0" w:firstLineChars="0"/>
              <w:rPr>
                <w:rFonts w:eastAsia="游明朝"/>
                <w:iCs/>
                <w:lang w:eastAsia="ja-JP"/>
              </w:rPr>
            </w:pPr>
            <w:r>
              <w:rPr>
                <w:rFonts w:eastAsia="游明朝"/>
                <w:iCs/>
                <w:lang w:eastAsia="ja-JP"/>
              </w:rPr>
              <w:t xml:space="preserve">The successful rate for the correct prediction, </w:t>
            </w:r>
          </w:p>
          <w:p>
            <w:pPr>
              <w:pStyle w:val="31"/>
              <w:numPr>
                <w:ilvl w:val="1"/>
                <w:numId w:val="11"/>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The correct prediction is considered as maximum ground-truth RSRP among top-K predicted beams larger than or equal to the ground-truth RSRP of the strongest genie-aided beam(s) – x dB, </w:t>
            </w:r>
          </w:p>
          <w:p>
            <w:pPr>
              <w:pStyle w:val="31"/>
              <w:numPr>
                <w:ilvl w:val="1"/>
                <w:numId w:val="11"/>
              </w:numPr>
              <w:overflowPunct w:val="0"/>
              <w:autoSpaceDE w:val="0"/>
              <w:autoSpaceDN w:val="0"/>
              <w:adjustRightInd w:val="0"/>
              <w:ind w:firstLineChars="0"/>
              <w:textAlignment w:val="baseline"/>
              <w:rPr>
                <w:rFonts w:eastAsia="游明朝"/>
                <w:iCs/>
                <w:lang w:eastAsia="ja-JP"/>
              </w:rPr>
            </w:pPr>
            <w:r>
              <w:rPr>
                <w:rFonts w:eastAsia="游明朝"/>
                <w:iCs/>
                <w:lang w:eastAsia="ja-JP"/>
              </w:rPr>
              <w:t>FFS on top-N (N&lt;/=K) predicted beams have to be considered in the success rate evaluation</w:t>
            </w:r>
          </w:p>
          <w:p>
            <w:pPr>
              <w:pStyle w:val="31"/>
              <w:numPr>
                <w:ilvl w:val="2"/>
                <w:numId w:val="11"/>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N values</w:t>
            </w:r>
          </w:p>
          <w:p>
            <w:pPr>
              <w:pStyle w:val="31"/>
              <w:numPr>
                <w:ilvl w:val="1"/>
                <w:numId w:val="11"/>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x values</w:t>
            </w:r>
          </w:p>
          <w:p>
            <w:pPr>
              <w:rPr>
                <w:rFonts w:hint="eastAsia"/>
                <w:vertAlign w:val="baseline"/>
                <w:lang w:val="en-US" w:eastAsia="zh-CN"/>
              </w:rPr>
            </w:pPr>
            <w:r>
              <w:rPr>
                <w:rFonts w:hint="eastAsia" w:eastAsia="游明朝"/>
                <w:iCs/>
                <w:lang w:eastAsia="ja-JP"/>
              </w:rPr>
              <w:t>N</w:t>
            </w:r>
            <w:r>
              <w:rPr>
                <w:rFonts w:eastAsia="游明朝"/>
                <w:iCs/>
                <w:lang w:eastAsia="ja-JP"/>
              </w:rPr>
              <w:t>ote: if x=0 and N=1, it means Top-K/1 (%) : the percentage of "the Top-1 strongest beam is one of the Top-K predicted beams"</w:t>
            </w:r>
          </w:p>
        </w:tc>
      </w:tr>
    </w:tbl>
    <w:p>
      <w:pPr>
        <w:jc w:val="both"/>
        <w:rPr>
          <w:rFonts w:hint="eastAsia"/>
          <w:lang w:val="en-US" w:eastAsia="zh-CN"/>
        </w:rPr>
      </w:pPr>
      <w:r>
        <w:rPr>
          <w:rFonts w:hint="eastAsia"/>
          <w:lang w:val="en-US" w:eastAsia="zh-CN"/>
        </w:rPr>
        <w:t>We observe that modified option 3 is adopted. There are two options x is larger than 0 and x equals to 0, to my understanding, at least x equals to 0 shall be supported since it means Top-K/1(%) if x=0. Based on simulation results, we find that Top-1/1 does not work at all and this performance metric has already been precluded in last meeting. Top-K/1 is the relaxation of Top-1/1, UE vendors has extended margin on this performance metric and the prediction accuracy can be up to 97% even the measurement error has been added. Thus, we deem that at least x equals to 0 shall be considered. For x&gt;0, this shall be decided on simulation results. However, one thing shall be noticed that x shall not be too large. If the value of x is set relatively high, the performance metric will show some excellent results, making it easy for UE to pass the test and indirectly suggesting that AI performance is very good. But if the margin is set too large, the threshold for performance validation becomes low enough that any UE can pass the test, leading to the realization that AI</w:t>
      </w:r>
      <w:r>
        <w:rPr>
          <w:rFonts w:hint="default"/>
          <w:lang w:val="en-US" w:eastAsia="zh-CN"/>
        </w:rPr>
        <w:t>’</w:t>
      </w:r>
      <w:r>
        <w:rPr>
          <w:rFonts w:hint="eastAsia"/>
          <w:lang w:val="en-US" w:eastAsia="zh-CN"/>
        </w:rPr>
        <w:t>s predictive capabilities are actually not as good as legacy methods. This would be meaningless. Consequently, the value of x shall be considered carefully.</w:t>
      </w:r>
    </w:p>
    <w:p>
      <w:pPr>
        <w:jc w:val="both"/>
        <w:rPr>
          <w:rFonts w:hint="eastAsia"/>
          <w:b/>
          <w:bCs/>
          <w:lang w:val="en-US" w:eastAsia="zh-CN"/>
        </w:rPr>
      </w:pPr>
      <w:r>
        <w:rPr>
          <w:rFonts w:hint="eastAsia"/>
          <w:b/>
          <w:bCs/>
          <w:lang w:val="en-US" w:eastAsia="zh-CN"/>
        </w:rPr>
        <w:t>Observation 7: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8: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4: At least x=0 shall be considered in performance metrics.</w:t>
      </w:r>
    </w:p>
    <w:p>
      <w:pPr>
        <w:jc w:val="both"/>
        <w:rPr>
          <w:rFonts w:hint="eastAsia"/>
          <w:b/>
          <w:bCs/>
          <w:lang w:val="en-US" w:eastAsia="zh-CN"/>
        </w:rPr>
      </w:pPr>
      <w:r>
        <w:rPr>
          <w:rFonts w:hint="eastAsia"/>
          <w:b/>
          <w:bCs/>
          <w:lang w:val="en-US" w:eastAsia="zh-CN"/>
        </w:rPr>
        <w:t>Proposal 5: The concrete value of x when x&gt;0 shall be defined based on simulation results.</w:t>
      </w:r>
    </w:p>
    <w:p>
      <w:pPr>
        <w:jc w:val="both"/>
        <w:rPr>
          <w:rFonts w:hint="default"/>
          <w:lang w:val="en-US" w:eastAsia="zh-CN"/>
        </w:rPr>
      </w:pPr>
      <w:r>
        <w:rPr>
          <w:rFonts w:hint="eastAsia"/>
          <w:b/>
          <w:bCs/>
          <w:lang w:val="en-US" w:eastAsia="zh-CN"/>
        </w:rPr>
        <w:t>Proposal 6: The value of x shall not be set too large in order to guarantee the AI performance test and prevent UE easily pass the test.</w:t>
      </w:r>
      <w:r>
        <w:rPr>
          <w:rFonts w:hint="eastAsia"/>
          <w:lang w:val="en-US" w:eastAsia="zh-CN"/>
        </w:rPr>
        <w:t xml:space="preserve"> </w:t>
      </w:r>
    </w:p>
    <w:p>
      <w:pPr>
        <w:pStyle w:val="3"/>
        <w:rPr>
          <w:rFonts w:hint="eastAsia"/>
          <w:sz w:val="24"/>
          <w:szCs w:val="24"/>
          <w:lang w:val="en-US" w:eastAsia="zh-CN"/>
        </w:rPr>
      </w:pPr>
      <w:r>
        <w:rPr>
          <w:rFonts w:hint="eastAsia"/>
          <w:sz w:val="24"/>
          <w:szCs w:val="24"/>
          <w:lang w:val="en-US" w:eastAsia="zh-CN"/>
        </w:rPr>
        <w:t xml:space="preserve">2.2 Prediction delay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without any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rPr>
                <w:b/>
                <w:bCs/>
                <w:iCs/>
                <w:lang w:eastAsia="zh-CN"/>
              </w:rPr>
            </w:pPr>
            <w:r>
              <w:rPr>
                <w:b/>
                <w:bCs/>
                <w:iCs/>
                <w:lang w:eastAsia="zh-CN"/>
              </w:rPr>
              <w:t>Agreement:</w:t>
            </w:r>
          </w:p>
          <w:p>
            <w:pPr>
              <w:pStyle w:val="31"/>
              <w:numPr>
                <w:ilvl w:val="0"/>
                <w:numId w:val="12"/>
              </w:numPr>
              <w:overflowPunct w:val="0"/>
              <w:autoSpaceDE w:val="0"/>
              <w:autoSpaceDN w:val="0"/>
              <w:adjustRightInd w:val="0"/>
              <w:ind w:firstLineChars="0"/>
              <w:textAlignment w:val="baseline"/>
              <w:rPr>
                <w:rFonts w:eastAsia="Yu Mincho"/>
                <w:lang w:eastAsia="ja-JP"/>
              </w:rPr>
            </w:pPr>
            <w:r>
              <w:rPr>
                <w:rFonts w:hint="eastAsia" w:eastAsia="Yu Mincho"/>
                <w:lang w:eastAsia="ja-JP"/>
              </w:rPr>
              <w:t>Prediction delay include</w:t>
            </w:r>
            <w:r>
              <w:rPr>
                <w:rFonts w:eastAsia="Yu Mincho"/>
                <w:lang w:eastAsia="ja-JP"/>
              </w:rPr>
              <w:t>s</w:t>
            </w:r>
            <w:r>
              <w:rPr>
                <w:rFonts w:hint="eastAsia" w:eastAsia="Yu Mincho"/>
                <w:lang w:eastAsia="ja-JP"/>
              </w:rPr>
              <w:t>:</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eastAsia="Yu Mincho"/>
                <w:lang w:eastAsia="ja-JP"/>
              </w:rPr>
              <w:t>Measurement</w:t>
            </w:r>
            <w:r>
              <w:rPr>
                <w:rFonts w:hint="eastAsia" w:eastAsia="Yu Mincho"/>
                <w:lang w:eastAsia="ja-JP"/>
              </w:rPr>
              <w:t xml:space="preserve"> for prediction</w:t>
            </w:r>
          </w:p>
          <w:p>
            <w:pPr>
              <w:pStyle w:val="31"/>
              <w:numPr>
                <w:ilvl w:val="2"/>
                <w:numId w:val="12"/>
              </w:numPr>
              <w:overflowPunct w:val="0"/>
              <w:autoSpaceDE w:val="0"/>
              <w:autoSpaceDN w:val="0"/>
              <w:adjustRightInd w:val="0"/>
              <w:ind w:firstLineChars="0"/>
              <w:textAlignment w:val="baseline"/>
              <w:rPr>
                <w:rFonts w:eastAsia="Yu Mincho"/>
                <w:lang w:eastAsia="ja-JP"/>
              </w:rPr>
            </w:pPr>
            <w:r>
              <w:rPr>
                <w:rFonts w:eastAsia="Yu Mincho"/>
                <w:lang w:eastAsia="ja-JP"/>
              </w:rPr>
              <w:t>FFS on whether the legacy measurement delay can be reused</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hint="eastAsia" w:eastAsia="Yu Mincho"/>
                <w:lang w:eastAsia="ja-JP"/>
              </w:rPr>
              <w:t>Inference delay</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eastAsia="Yu Mincho"/>
                <w:lang w:eastAsia="ja-JP"/>
              </w:rPr>
              <w:t>O</w:t>
            </w:r>
            <w:r>
              <w:rPr>
                <w:rFonts w:hint="eastAsia" w:eastAsia="Yu Mincho"/>
                <w:lang w:eastAsia="ja-JP"/>
              </w:rPr>
              <w:t>ther components are FFS</w:t>
            </w:r>
          </w:p>
          <w:p>
            <w:pPr>
              <w:rPr>
                <w:rFonts w:hint="eastAsia"/>
                <w:vertAlign w:val="baseline"/>
                <w:lang w:val="en-US" w:eastAsia="zh-CN"/>
              </w:rPr>
            </w:pPr>
          </w:p>
        </w:tc>
      </w:tr>
    </w:tbl>
    <w:p>
      <w:pPr>
        <w:rPr>
          <w:rFonts w:hint="eastAsia"/>
          <w:lang w:val="en-US" w:eastAsia="zh-CN"/>
        </w:rPr>
      </w:pPr>
      <w:r>
        <w:rPr>
          <w:rFonts w:hint="eastAsia"/>
          <w:lang w:val="en-US" w:eastAsia="zh-CN"/>
        </w:rPr>
        <w:t xml:space="preserve">Before we RAN4 defining the prediction delay requirements, the components of prediction delay shall be firstly decided, and then the specific requirements could be considered. </w:t>
      </w:r>
    </w:p>
    <w:p>
      <w:pPr>
        <w:spacing w:before="161" w:beforeLines="50" w:after="161" w:afterLines="50"/>
        <w:jc w:val="both"/>
        <w:rPr>
          <w:rFonts w:hint="eastAsia"/>
          <w:b/>
          <w:bCs/>
          <w:i/>
          <w:iCs/>
          <w:lang w:val="en-US" w:eastAsia="zh-CN"/>
        </w:rPr>
      </w:pPr>
      <w:r>
        <w:rPr>
          <w:rFonts w:hint="eastAsia"/>
          <w:b/>
          <w:bCs/>
          <w:i/>
          <w:iCs/>
          <w:lang w:val="en-US" w:eastAsia="zh-CN"/>
        </w:rPr>
        <w:t>Potential components in prediction delay</w:t>
      </w:r>
    </w:p>
    <w:p>
      <w:pPr>
        <w:rPr>
          <w:rFonts w:hint="eastAsia"/>
          <w:lang w:val="en-US" w:eastAsia="zh-CN"/>
        </w:rPr>
      </w:pPr>
      <w:r>
        <w:rPr>
          <w:rFonts w:hint="eastAsia"/>
          <w:lang w:val="en-US" w:eastAsia="zh-CN"/>
        </w:rPr>
        <w:t>To my understanding, the following figure could show us the concrete components in prediction delay:</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62680" cy="866140"/>
            <wp:effectExtent l="0" t="0" r="0" b="254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3662680" cy="866140"/>
                    </a:xfrm>
                    <a:prstGeom prst="rect">
                      <a:avLst/>
                    </a:prstGeom>
                    <a:noFill/>
                    <a:ln w="9525">
                      <a:noFill/>
                    </a:ln>
                  </pic:spPr>
                </pic:pic>
              </a:graphicData>
            </a:graphic>
          </wp:inline>
        </w:drawing>
      </w:r>
    </w:p>
    <w:p>
      <w:pPr>
        <w:jc w:val="center"/>
        <w:rPr>
          <w:rFonts w:hint="default"/>
          <w:lang w:val="en-US" w:eastAsia="zh-CN"/>
        </w:rPr>
      </w:pPr>
      <w:r>
        <w:rPr>
          <w:rFonts w:hint="eastAsia"/>
          <w:lang w:val="en-US" w:eastAsia="zh-CN"/>
        </w:rPr>
        <w:t>Figure 4 Prediction delay</w:t>
      </w:r>
    </w:p>
    <w:p>
      <w:pPr>
        <w:jc w:val="both"/>
        <w:rPr>
          <w:rFonts w:hint="eastAsia"/>
          <w:lang w:val="en-US" w:eastAsia="zh-CN"/>
        </w:rPr>
      </w:pPr>
      <w:r>
        <w:rPr>
          <w:rFonts w:hint="eastAsia"/>
          <w:lang w:val="en-US" w:eastAsia="zh-CN"/>
        </w:rPr>
        <w:t>Based on figure 3, we think that the whole processing delay contains three parts, the starting point is collection of input data and the ending point is UE reporting the predicted results to gNB:</w:t>
      </w:r>
    </w:p>
    <w:p>
      <w:pPr>
        <w:numPr>
          <w:ilvl w:val="0"/>
          <w:numId w:val="13"/>
        </w:numPr>
        <w:ind w:left="420" w:hanging="420"/>
        <w:jc w:val="both"/>
        <w:rPr>
          <w:rFonts w:hint="eastAsia"/>
          <w:lang w:val="en-US" w:eastAsia="zh-CN"/>
        </w:rPr>
      </w:pPr>
      <w:r>
        <w:rPr>
          <w:rFonts w:hint="eastAsia"/>
          <w:lang w:val="en-US" w:eastAsia="zh-CN"/>
        </w:rPr>
        <w:t>Measurement delay: The time for measurement of SetB which is the input for inference.</w:t>
      </w:r>
    </w:p>
    <w:p>
      <w:pPr>
        <w:numPr>
          <w:ilvl w:val="0"/>
          <w:numId w:val="13"/>
        </w:numPr>
        <w:ind w:left="420" w:hanging="420"/>
        <w:jc w:val="both"/>
        <w:rPr>
          <w:rFonts w:hint="eastAsia"/>
          <w:lang w:val="en-US" w:eastAsia="zh-CN"/>
        </w:rPr>
      </w:pPr>
      <w:r>
        <w:rPr>
          <w:rFonts w:hint="eastAsia"/>
          <w:lang w:val="en-US" w:eastAsia="zh-CN"/>
        </w:rPr>
        <w:t>Inference delay: The time for inference from starting performing inference to generate the prediction results.</w:t>
      </w:r>
    </w:p>
    <w:p>
      <w:pPr>
        <w:numPr>
          <w:ilvl w:val="0"/>
          <w:numId w:val="13"/>
        </w:numPr>
        <w:ind w:left="420" w:hanging="420"/>
        <w:jc w:val="both"/>
        <w:rPr>
          <w:rFonts w:hint="default"/>
          <w:lang w:val="en-US" w:eastAsia="zh-CN"/>
        </w:rPr>
      </w:pPr>
      <w:r>
        <w:rPr>
          <w:rFonts w:hint="eastAsia"/>
          <w:lang w:val="en-US" w:eastAsia="zh-CN"/>
        </w:rPr>
        <w:t xml:space="preserve">Reporting delay: </w:t>
      </w:r>
      <w:r>
        <w:rPr>
          <w:rFonts w:hint="eastAsia"/>
          <w:lang w:eastAsia="zh-CN"/>
        </w:rPr>
        <w:t xml:space="preserve">The time between </w:t>
      </w:r>
      <w:r>
        <w:rPr>
          <w:rFonts w:hint="eastAsia"/>
          <w:lang w:val="en-US" w:eastAsia="zh-CN"/>
        </w:rPr>
        <w:t xml:space="preserve">the </w:t>
      </w:r>
      <w:r>
        <w:rPr>
          <w:rFonts w:hint="eastAsia"/>
          <w:lang w:eastAsia="zh-CN"/>
        </w:rPr>
        <w:t>report</w:t>
      </w:r>
      <w:r>
        <w:rPr>
          <w:rFonts w:hint="eastAsia"/>
          <w:lang w:val="en-US" w:eastAsia="zh-CN"/>
        </w:rPr>
        <w:t xml:space="preserve"> triggering</w:t>
      </w:r>
      <w:r>
        <w:rPr>
          <w:rFonts w:hint="eastAsia"/>
          <w:lang w:eastAsia="zh-CN"/>
        </w:rPr>
        <w:t xml:space="preserve"> and the point when the UE starts to transmit the outputs over the air.</w:t>
      </w:r>
      <w:r>
        <w:rPr>
          <w:rFonts w:hint="eastAsia"/>
          <w:lang w:val="en-US" w:eastAsia="zh-CN"/>
        </w:rPr>
        <w:t>.</w:t>
      </w:r>
    </w:p>
    <w:p>
      <w:pPr>
        <w:numPr>
          <w:ilvl w:val="-1"/>
          <w:numId w:val="0"/>
        </w:numPr>
        <w:ind w:left="0" w:firstLine="0"/>
        <w:jc w:val="both"/>
        <w:rPr>
          <w:rFonts w:hint="eastAsia"/>
          <w:b/>
          <w:bCs/>
          <w:lang w:val="en-US" w:eastAsia="zh-CN"/>
        </w:rPr>
      </w:pPr>
      <w:r>
        <w:rPr>
          <w:rFonts w:hint="eastAsia"/>
          <w:b/>
          <w:bCs/>
          <w:lang w:val="en-US" w:eastAsia="zh-CN"/>
        </w:rPr>
        <w:t>Proposal 7: The potential components in prediction delay contains three parts:</w:t>
      </w:r>
    </w:p>
    <w:p>
      <w:pPr>
        <w:numPr>
          <w:ilvl w:val="0"/>
          <w:numId w:val="13"/>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3"/>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3"/>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spacing w:before="161" w:beforeLines="50" w:after="161" w:afterLines="50"/>
        <w:jc w:val="both"/>
        <w:rPr>
          <w:rFonts w:hint="eastAsia"/>
          <w:b/>
          <w:bCs/>
          <w:i/>
          <w:iCs/>
          <w:lang w:val="en-US" w:eastAsia="zh-CN"/>
        </w:rPr>
      </w:pPr>
      <w:r>
        <w:rPr>
          <w:rFonts w:hint="eastAsia"/>
          <w:b/>
          <w:bCs/>
          <w:i/>
          <w:iCs/>
          <w:lang w:val="en-US" w:eastAsia="zh-CN"/>
        </w:rPr>
        <w:t>How to define the prediction delay requirements</w:t>
      </w:r>
    </w:p>
    <w:p>
      <w:pPr>
        <w:numPr>
          <w:ilvl w:val="-1"/>
          <w:numId w:val="0"/>
        </w:numPr>
        <w:ind w:left="0" w:firstLine="0"/>
        <w:jc w:val="both"/>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ind w:left="0" w:firstLine="0"/>
        <w:jc w:val="both"/>
        <w:rPr>
          <w:rFonts w:hint="eastAsia"/>
          <w:lang w:val="en-US" w:eastAsia="zh-CN"/>
        </w:rPr>
      </w:pPr>
      <w:r>
        <w:rPr>
          <w:rFonts w:hint="eastAsia"/>
          <w:lang w:val="en-US" w:eastAsia="zh-CN"/>
        </w:rPr>
        <w:t>However, there is an agreement related to inference delay in RAN4 #114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7" w:type="dxa"/>
          </w:tcPr>
          <w:p>
            <w:pPr>
              <w:spacing w:before="120" w:beforeLines="50" w:after="120" w:afterLines="50"/>
              <w:rPr>
                <w:lang w:eastAsia="zh-CN"/>
              </w:rPr>
            </w:pPr>
            <w:r>
              <w:rPr>
                <w:rFonts w:hint="eastAsia"/>
                <w:highlight w:val="green"/>
                <w:lang w:eastAsia="zh-CN"/>
              </w:rPr>
              <w:t>A</w:t>
            </w:r>
            <w:r>
              <w:rPr>
                <w:highlight w:val="green"/>
                <w:lang w:eastAsia="zh-CN"/>
              </w:rPr>
              <w:t>greement:</w:t>
            </w:r>
            <w:r>
              <w:rPr>
                <w:lang w:eastAsia="zh-CN"/>
              </w:rPr>
              <w:t xml:space="preserve"> </w:t>
            </w:r>
          </w:p>
          <w:p>
            <w:pPr>
              <w:pStyle w:val="31"/>
              <w:numPr>
                <w:ilvl w:val="0"/>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Use the following as the starting point</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I</w:t>
            </w:r>
            <w:r>
              <w:rPr>
                <w:rFonts w:hint="eastAsia" w:eastAsia="游明朝"/>
                <w:sz w:val="20"/>
                <w:szCs w:val="20"/>
                <w:lang w:eastAsia="ja-JP"/>
              </w:rPr>
              <w:t xml:space="preserve">nference latency </w:t>
            </w:r>
            <w:r>
              <w:rPr>
                <w:rFonts w:eastAsia="游明朝"/>
                <w:sz w:val="20"/>
                <w:szCs w:val="20"/>
                <w:lang w:eastAsia="ja-JP"/>
              </w:rPr>
              <w:t>can</w:t>
            </w:r>
            <w:r>
              <w:rPr>
                <w:rFonts w:hint="eastAsia" w:eastAsia="游明朝"/>
                <w:sz w:val="20"/>
                <w:szCs w:val="20"/>
                <w:lang w:eastAsia="ja-JP"/>
              </w:rPr>
              <w:t xml:space="preserve"> be </w:t>
            </w:r>
            <w:r>
              <w:rPr>
                <w:rFonts w:eastAsia="游明朝"/>
                <w:sz w:val="20"/>
                <w:szCs w:val="20"/>
                <w:lang w:eastAsia="ja-JP"/>
              </w:rPr>
              <w:t>implicitly</w:t>
            </w:r>
            <w:r>
              <w:rPr>
                <w:rFonts w:hint="eastAsia" w:eastAsia="游明朝"/>
                <w:sz w:val="20"/>
                <w:szCs w:val="20"/>
                <w:lang w:eastAsia="ja-JP"/>
              </w:rPr>
              <w:t xml:space="preserve"> captured in the delay of corresponding procedures</w:t>
            </w:r>
            <w:r>
              <w:rPr>
                <w:rFonts w:eastAsia="游明朝"/>
                <w:sz w:val="20"/>
                <w:szCs w:val="20"/>
                <w:lang w:eastAsia="ja-JP"/>
              </w:rPr>
              <w:t xml:space="preserve"> </w:t>
            </w:r>
            <w:r>
              <w:rPr>
                <w:rFonts w:hint="eastAsia" w:eastAsia="游明朝"/>
                <w:sz w:val="20"/>
                <w:szCs w:val="20"/>
                <w:lang w:eastAsia="ja-JP"/>
              </w:rPr>
              <w:t>(e.g. reporting delay)</w:t>
            </w:r>
            <w:r>
              <w:rPr>
                <w:rFonts w:eastAsia="游明朝"/>
                <w:sz w:val="20"/>
                <w:szCs w:val="20"/>
                <w:lang w:eastAsia="ja-JP"/>
              </w:rPr>
              <w:t xml:space="preserve"> </w:t>
            </w:r>
            <w:r>
              <w:rPr>
                <w:rFonts w:hint="eastAsia" w:eastAsia="游明朝"/>
                <w:sz w:val="20"/>
                <w:szCs w:val="20"/>
                <w:lang w:eastAsia="ja-JP"/>
              </w:rPr>
              <w:t>and/or performance requirements</w:t>
            </w:r>
            <w:r>
              <w:rPr>
                <w:rFonts w:eastAsia="游明朝"/>
                <w:sz w:val="20"/>
                <w:szCs w:val="20"/>
                <w:lang w:eastAsia="ja-JP"/>
              </w:rPr>
              <w:t>.</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I</w:t>
            </w:r>
            <w:r>
              <w:rPr>
                <w:rFonts w:eastAsia="游明朝"/>
                <w:sz w:val="20"/>
                <w:szCs w:val="20"/>
                <w:lang w:eastAsia="ja-JP"/>
              </w:rPr>
              <w:t>nference latency is part of delay of the corresponding procedure and no separate requirement will be specified for inference latency.</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C</w:t>
            </w:r>
            <w:r>
              <w:rPr>
                <w:rFonts w:eastAsia="游明朝"/>
                <w:sz w:val="20"/>
                <w:szCs w:val="20"/>
                <w:lang w:eastAsia="ja-JP"/>
              </w:rPr>
              <w:t>heck the above bullets based on per use case, and if other WGs define the inference latency, RAN4 can revisit the above bullets.</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It is observed that inference latency will be implicitly captured in the delay of corresponding procedures and RAN4 shall not define the separate requirements for inference latency. RAN1 has not define the inference latency so far, so RAN4 shall define other requirements including inference latency implicitly. The above agreement suggests that the inference latency could be captured in reporting delay, so figure 3 shall be modified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753485" cy="1334135"/>
            <wp:effectExtent l="0" t="0" r="1079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3753485" cy="1334135"/>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eastAsia" w:eastAsia="宋体"/>
          <w:lang w:val="en-US" w:eastAsia="zh-CN"/>
        </w:rPr>
        <w:t>Figure 5 Modified prediction delay</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SetB measurement which is legacy L1-RSRP measurement, we propose to use the legacy measurement period as baseline or starting point.</w:t>
      </w:r>
    </w:p>
    <w:p>
      <w:pPr>
        <w:numPr>
          <w:ilvl w:val="-1"/>
          <w:numId w:val="0"/>
        </w:numPr>
        <w:spacing w:before="161" w:beforeLines="50" w:after="161" w:afterLines="50"/>
        <w:ind w:left="0" w:firstLine="0"/>
        <w:jc w:val="both"/>
        <w:rPr>
          <w:rFonts w:hint="default"/>
          <w:lang w:val="en-US" w:eastAsia="zh-CN"/>
        </w:rPr>
      </w:pPr>
      <w:r>
        <w:rPr>
          <w:rFonts w:hint="eastAsia"/>
          <w:lang w:val="en-US" w:eastAsia="zh-CN"/>
        </w:rPr>
        <w:t>For</w:t>
      </w:r>
      <w:r>
        <w:rPr>
          <w:rFonts w:hint="eastAsia"/>
          <w:highlight w:val="none"/>
          <w:lang w:val="en-US" w:eastAsia="zh-CN"/>
        </w:rPr>
        <w:t xml:space="preserve"> reporting delay </w:t>
      </w:r>
      <w:r>
        <w:rPr>
          <w:rFonts w:hint="eastAsia"/>
          <w:lang w:val="en-US" w:eastAsia="zh-CN"/>
        </w:rPr>
        <w:t>(including inference latency), RAN4 shall wait for other WGs</w:t>
      </w:r>
      <w:r>
        <w:rPr>
          <w:rFonts w:hint="default"/>
          <w:lang w:val="en-US" w:eastAsia="zh-CN"/>
        </w:rPr>
        <w:t>’</w:t>
      </w:r>
      <w:r>
        <w:rPr>
          <w:rFonts w:hint="eastAsia"/>
          <w:lang w:val="en-US" w:eastAsia="zh-CN"/>
        </w:rPr>
        <w:t xml:space="preserve"> discussion on the concrete reporting mechanism.</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Proposal 8: The legacy L1-RSRP measurement period shall be as baseline or starting point.</w:t>
      </w:r>
    </w:p>
    <w:p>
      <w:pPr>
        <w:numPr>
          <w:ilvl w:val="-1"/>
          <w:numId w:val="0"/>
        </w:numPr>
        <w:spacing w:before="161" w:beforeLines="50" w:after="161" w:afterLines="50"/>
        <w:ind w:left="0" w:firstLine="0"/>
        <w:jc w:val="both"/>
        <w:rPr>
          <w:rFonts w:hint="eastAsia"/>
          <w:b/>
          <w:bCs/>
          <w:highlight w:val="none"/>
          <w:lang w:val="en-US" w:eastAsia="zh-CN"/>
        </w:rPr>
      </w:pPr>
      <w:r>
        <w:rPr>
          <w:rFonts w:hint="eastAsia"/>
          <w:b/>
          <w:bCs/>
          <w:lang w:val="en-US" w:eastAsia="zh-CN"/>
        </w:rPr>
        <w:t>Proposal 9: Postpone discussion on reporting requirements until other WGs reach the conclusion on rep</w:t>
      </w:r>
      <w:r>
        <w:rPr>
          <w:rFonts w:hint="eastAsia"/>
          <w:b/>
          <w:bCs/>
          <w:highlight w:val="none"/>
          <w:lang w:val="en-US" w:eastAsia="zh-CN"/>
        </w:rPr>
        <w:t>orting mechanism.</w:t>
      </w:r>
    </w:p>
    <w:p>
      <w:pPr>
        <w:pStyle w:val="3"/>
        <w:rPr>
          <w:rFonts w:hint="eastAsia"/>
          <w:sz w:val="24"/>
          <w:szCs w:val="24"/>
          <w:highlight w:val="none"/>
          <w:lang w:val="en-US" w:eastAsia="zh-CN"/>
        </w:rPr>
      </w:pPr>
      <w:r>
        <w:rPr>
          <w:rFonts w:hint="eastAsia"/>
          <w:sz w:val="24"/>
          <w:szCs w:val="24"/>
          <w:highlight w:val="none"/>
          <w:lang w:val="en-US" w:eastAsia="zh-CN"/>
        </w:rPr>
        <w:t>2.3 TCI state activation</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For AI beam prediction, UE firstly performs the L1-RSRP measurement for Set B as the input of AI model. The AI model generates the output which is the predicted Set A, and the AI model is the UE-side model. UE would report the final output to network, then network configures TCI state activation. RAN4 actually defines the active TCI state switching delay based on known TCI state or unknown TCI state in legacy, that is, different TCI state conditions mean the different TCI state switching delay. The legacy known conditions for TCI state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pPr>
              <w:jc w:val="both"/>
            </w:pPr>
            <w:r>
              <w:rPr>
                <w:lang w:eastAsia="zh-CN"/>
              </w:rPr>
              <w:t>-</w:t>
            </w:r>
            <w:r>
              <w:rPr>
                <w:lang w:eastAsia="zh-CN"/>
              </w:rPr>
              <w:tab/>
            </w:r>
            <w:r>
              <w:rPr>
                <w:lang w:eastAsia="zh-CN"/>
              </w:rPr>
              <w:t xml:space="preserve">During the period from the last transmission of the RS resource used for the L1-RSRP measurement reporting </w:t>
            </w:r>
            <w:r>
              <w:t>for the target TCI state to the completion of active TCI state switch, where the RS resource for L1-RSRP measurement is the RS in target TCI state or QCLed to the target TCI state</w:t>
            </w:r>
          </w:p>
          <w:p>
            <w:pPr>
              <w:jc w:val="both"/>
              <w:rPr>
                <w:lang w:eastAsia="zh-CN"/>
              </w:rPr>
            </w:pPr>
            <w:r>
              <w:rPr>
                <w:lang w:eastAsia="zh-CN"/>
              </w:rPr>
              <w:t xml:space="preserve">-TCI state switch command is received within 1280 ms upon the last transmission of the RS resource for beam reporting or measurement </w:t>
            </w:r>
          </w:p>
          <w:p>
            <w:pPr>
              <w:jc w:val="both"/>
              <w:rPr>
                <w:lang w:eastAsia="zh-CN"/>
              </w:rPr>
            </w:pPr>
            <w:r>
              <w:rPr>
                <w:lang w:eastAsia="zh-CN"/>
              </w:rPr>
              <w:t>-The UE has sent at least 1 L1-RSRP report for the target TCI state before the TCI state switch command</w:t>
            </w:r>
          </w:p>
          <w:p>
            <w:pPr>
              <w:jc w:val="both"/>
              <w:rPr>
                <w:lang w:eastAsia="zh-CN"/>
              </w:rPr>
            </w:pPr>
            <w:r>
              <w:rPr>
                <w:lang w:eastAsia="zh-CN"/>
              </w:rPr>
              <w:t>-The TCI state remains detectable during the TCI state switching period</w:t>
            </w:r>
          </w:p>
          <w:p>
            <w:pPr>
              <w:jc w:val="both"/>
              <w:rPr>
                <w:lang w:eastAsia="zh-CN"/>
              </w:rPr>
            </w:pPr>
            <w:r>
              <w:rPr>
                <w:lang w:eastAsia="zh-CN"/>
              </w:rPr>
              <w:t>-</w:t>
            </w:r>
            <w:bookmarkStart w:id="4" w:name="_Hlk18067072"/>
            <w:r>
              <w:rPr>
                <w:lang w:eastAsia="zh-CN"/>
              </w:rPr>
              <w:t>The SSB associated with the TCI state remain detectable during the TCI switching period</w:t>
            </w:r>
            <w:bookmarkEnd w:id="4"/>
          </w:p>
          <w:p>
            <w:pPr>
              <w:jc w:val="both"/>
              <w:rPr>
                <w:lang w:eastAsia="zh-CN"/>
              </w:rPr>
            </w:pPr>
            <w:r>
              <w:rPr>
                <w:lang w:eastAsia="zh-CN"/>
              </w:rPr>
              <w:t>-</w:t>
            </w:r>
            <w:r>
              <w:rPr>
                <w:lang w:eastAsia="zh-CN"/>
              </w:rPr>
              <w:tab/>
            </w:r>
            <w:r>
              <w:rPr>
                <w:lang w:eastAsia="zh-CN"/>
              </w:rPr>
              <w:t xml:space="preserve">SNR of the TCI state </w:t>
            </w:r>
            <w:r>
              <w:rPr>
                <w:rFonts w:eastAsia="Calibri"/>
              </w:rPr>
              <w:t>≥</w:t>
            </w:r>
            <w:r>
              <w:rPr>
                <w:lang w:eastAsia="zh-CN"/>
              </w:rPr>
              <w:t xml:space="preserve"> -3dB</w:t>
            </w:r>
          </w:p>
          <w:p>
            <w:pPr>
              <w:numPr>
                <w:ilvl w:val="-1"/>
                <w:numId w:val="0"/>
              </w:numPr>
              <w:spacing w:before="0" w:beforeLines="-2147483648" w:after="0" w:afterLines="-2147483648"/>
              <w:jc w:val="both"/>
              <w:rPr>
                <w:rFonts w:hint="eastAsia"/>
                <w:vertAlign w:val="baseline"/>
                <w:lang w:val="en-US" w:eastAsia="zh-CN"/>
              </w:rPr>
            </w:pPr>
            <w:r>
              <w:rPr>
                <w:rFonts w:eastAsia="Malgun Gothic"/>
                <w:lang w:eastAsia="zh-CN"/>
              </w:rPr>
              <w:t>Otherwise, the TCI state is unknown.</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There are two situation for considering the TCI state activation:</w:t>
      </w:r>
    </w:p>
    <w:p>
      <w:pPr>
        <w:numPr>
          <w:ilvl w:val="0"/>
          <w:numId w:val="15"/>
        </w:numPr>
        <w:spacing w:before="161" w:beforeLines="50" w:after="161" w:afterLines="50"/>
        <w:ind w:left="420" w:hanging="420"/>
        <w:jc w:val="both"/>
        <w:rPr>
          <w:rFonts w:hint="eastAsia"/>
          <w:lang w:val="en-US" w:eastAsia="zh-CN"/>
        </w:rPr>
      </w:pPr>
      <w:r>
        <w:rPr>
          <w:rFonts w:hint="eastAsia"/>
          <w:lang w:val="en-US" w:eastAsia="zh-CN"/>
        </w:rPr>
        <w:t>Case 1: The best predicted Tx beam ID/RSRP belongs to Set B.</w:t>
      </w:r>
    </w:p>
    <w:p>
      <w:pPr>
        <w:numPr>
          <w:ilvl w:val="0"/>
          <w:numId w:val="15"/>
        </w:numPr>
        <w:spacing w:before="161" w:beforeLines="50" w:after="161" w:afterLines="50"/>
        <w:ind w:left="420" w:hanging="420"/>
        <w:jc w:val="both"/>
        <w:rPr>
          <w:rFonts w:hint="eastAsia"/>
          <w:lang w:val="en-US" w:eastAsia="zh-CN"/>
        </w:rPr>
      </w:pPr>
      <w:r>
        <w:rPr>
          <w:rFonts w:hint="eastAsia"/>
          <w:lang w:val="en-US" w:eastAsia="zh-CN"/>
        </w:rPr>
        <w:t>Case 2: The best predicted Tx beam ID/RSRP doesn</w:t>
      </w:r>
      <w:r>
        <w:rPr>
          <w:rFonts w:hint="default"/>
          <w:lang w:val="en-US" w:eastAsia="zh-CN"/>
        </w:rPr>
        <w:t>’</w:t>
      </w:r>
      <w:r>
        <w:rPr>
          <w:rFonts w:hint="eastAsia"/>
          <w:lang w:val="en-US" w:eastAsia="zh-CN"/>
        </w:rPr>
        <w:t>t not belong to Set B.</w:t>
      </w:r>
    </w:p>
    <w:p>
      <w:pPr>
        <w:numPr>
          <w:ilvl w:val="-1"/>
          <w:numId w:val="0"/>
        </w:numPr>
        <w:spacing w:before="161" w:beforeLines="50" w:after="161" w:afterLines="50"/>
        <w:ind w:left="0" w:firstLine="0"/>
        <w:jc w:val="both"/>
        <w:rPr>
          <w:rFonts w:hint="eastAsia"/>
          <w:lang w:eastAsia="zh-CN"/>
        </w:rPr>
      </w:pPr>
      <w:r>
        <w:rPr>
          <w:rFonts w:hint="eastAsia"/>
          <w:lang w:val="en-US" w:eastAsia="zh-CN"/>
        </w:rPr>
        <w:t xml:space="preserve">To my understanding, the known and unknown conditions for Rx beam to UE will have an impact on TCI state switching delay. </w:t>
      </w:r>
      <w:r>
        <w:rPr>
          <w:rFonts w:hint="eastAsia"/>
          <w:lang w:eastAsia="zh-CN"/>
        </w:rPr>
        <w:t>When the UE is aware of the current RX</w:t>
      </w:r>
      <w:r>
        <w:rPr>
          <w:rFonts w:hint="eastAsia"/>
          <w:lang w:val="en-US" w:eastAsia="zh-CN"/>
        </w:rPr>
        <w:t xml:space="preserve"> </w:t>
      </w:r>
      <w:r>
        <w:rPr>
          <w:rFonts w:hint="eastAsia"/>
          <w:lang w:eastAsia="zh-CN"/>
        </w:rPr>
        <w:t>beam it is utilizing, it can more swiftly provide feedback on CSI, particularly when it can promptly report the optimal TCI state when channel conditions change. In this scenario, the n</w:t>
      </w:r>
      <w:r>
        <w:rPr>
          <w:rFonts w:hint="eastAsia"/>
          <w:lang w:val="en-US" w:eastAsia="zh-CN"/>
        </w:rPr>
        <w:t>etwork</w:t>
      </w:r>
      <w:r>
        <w:rPr>
          <w:rFonts w:hint="eastAsia"/>
          <w:lang w:eastAsia="zh-CN"/>
        </w:rPr>
        <w:t xml:space="preserve"> can immediately apply the recommended TCI state for beamforming adjustments, thereby reducing the TCI state activation delay.</w:t>
      </w:r>
      <w:r>
        <w:rPr>
          <w:rFonts w:hint="eastAsia"/>
          <w:lang w:val="en-US" w:eastAsia="zh-CN"/>
        </w:rPr>
        <w:t xml:space="preserve"> </w:t>
      </w:r>
      <w:r>
        <w:rPr>
          <w:rFonts w:hint="eastAsia"/>
          <w:lang w:eastAsia="zh-CN"/>
        </w:rPr>
        <w:t>In contrast, if the UE does not precisely know its RX beam or if the channel state has changed, it may require additional time to measure various beam configurations to determine which TCI state best suits the current conditions. This results in increased TCI state activation latency because the system must wait for the UE to complete measurements and report the optimal selection.</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Thus, we deem that the known condition on TCI state switching delay shall be based on the legacy delay and the measured Rx beam or not. For case 1, the best predicted Tx beam belongs to Set B and UE performs the full Rx beam sweeping for Set B, the TCI state is known. For case 2, the best predicted Tx beam doesn</w:t>
      </w:r>
      <w:r>
        <w:rPr>
          <w:rFonts w:hint="default"/>
          <w:lang w:val="en-US" w:eastAsia="zh-CN"/>
        </w:rPr>
        <w:t>’</w:t>
      </w:r>
      <w:r>
        <w:rPr>
          <w:rFonts w:hint="eastAsia"/>
          <w:lang w:val="en-US" w:eastAsia="zh-CN"/>
        </w:rPr>
        <w:t xml:space="preserve">t belong to Set B and the corresponding Rx beam of the best Tx beam may be unknown to UE, the TCI state is unknown. </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9: Different TCI state conditions mean the different TCI state switching delay.</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 xml:space="preserve">Observation 10: </w:t>
      </w:r>
      <w:r>
        <w:rPr>
          <w:rFonts w:hint="eastAsia"/>
          <w:b/>
          <w:bCs/>
          <w:lang w:eastAsia="zh-CN"/>
        </w:rPr>
        <w:t>When the UE is aware of the current RX</w:t>
      </w:r>
      <w:r>
        <w:rPr>
          <w:rFonts w:hint="eastAsia"/>
          <w:b/>
          <w:bCs/>
          <w:lang w:val="en-US" w:eastAsia="zh-CN"/>
        </w:rPr>
        <w:t xml:space="preserve"> </w:t>
      </w:r>
      <w:r>
        <w:rPr>
          <w:rFonts w:hint="eastAsia"/>
          <w:b/>
          <w:bCs/>
          <w:lang w:eastAsia="zh-CN"/>
        </w:rPr>
        <w:t>beam it is utilizing</w:t>
      </w:r>
      <w:r>
        <w:rPr>
          <w:rFonts w:hint="eastAsia"/>
          <w:b/>
          <w:bCs/>
          <w:lang w:val="en-US" w:eastAsia="zh-CN"/>
        </w:rPr>
        <w:t>, TCI state activation delay is reduced. Otherwise, TCI state activation delay is not reduced.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11: There are two situation for considering the TCI state activation:</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1: The best predicted Tx beam ID/RSRP belongs to Set B.</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2: The best predicted Tx beam ID/RSRP doesn’t not belong to Set B.</w:t>
      </w:r>
    </w:p>
    <w:p>
      <w:pPr>
        <w:numPr>
          <w:ilvl w:val="-1"/>
          <w:numId w:val="0"/>
        </w:numPr>
        <w:spacing w:before="161" w:beforeLines="50" w:after="161" w:afterLines="50"/>
        <w:ind w:left="0" w:firstLine="0"/>
        <w:jc w:val="both"/>
        <w:rPr>
          <w:rFonts w:hint="eastAsia" w:eastAsia="Times New Roman"/>
          <w:b/>
          <w:bCs/>
          <w:lang w:val="en-US" w:eastAsia="zh-CN"/>
        </w:rPr>
      </w:pPr>
      <w:r>
        <w:rPr>
          <w:rFonts w:hint="eastAsia"/>
          <w:b/>
          <w:bCs/>
          <w:lang w:val="en-US" w:eastAsia="zh-CN"/>
        </w:rPr>
        <w:t xml:space="preserve">Proposal 10: UE knows the Rx beam or the RS is in the Set B and the RS is also </w:t>
      </w:r>
      <w:r>
        <w:rPr>
          <w:rFonts w:hint="eastAsia" w:eastAsia="Times New Roman"/>
          <w:b/>
          <w:bCs/>
          <w:lang w:val="en-US" w:eastAsia="zh-CN"/>
        </w:rPr>
        <w:t>the L1-RSRP report by UE within 1280ms before TCI state activation, the TCI state is known. Otherwise, the TCI state is unknown.</w:t>
      </w:r>
    </w:p>
    <w:p>
      <w:pPr>
        <w:pStyle w:val="3"/>
        <w:rPr>
          <w:rFonts w:hint="default"/>
          <w:sz w:val="24"/>
          <w:szCs w:val="24"/>
          <w:highlight w:val="none"/>
          <w:lang w:val="en-US" w:eastAsia="zh-CN"/>
        </w:rPr>
      </w:pPr>
      <w:r>
        <w:rPr>
          <w:rFonts w:hint="eastAsia"/>
          <w:sz w:val="24"/>
          <w:szCs w:val="24"/>
          <w:highlight w:val="none"/>
          <w:lang w:val="en-US" w:eastAsia="zh-CN"/>
        </w:rPr>
        <w:t>2.4 Test Procedure</w:t>
      </w:r>
    </w:p>
    <w:p>
      <w:pPr>
        <w:spacing w:after="120"/>
        <w:jc w:val="both"/>
        <w:rPr>
          <w:rFonts w:hint="eastAsia" w:eastAsia="宋体"/>
          <w:b w:val="0"/>
          <w:bCs w:val="0"/>
          <w:szCs w:val="20"/>
          <w:lang w:val="en-US" w:eastAsia="zh-CN"/>
        </w:rPr>
      </w:pPr>
      <w:r>
        <w:rPr>
          <w:rFonts w:hint="eastAsia" w:eastAsia="宋体"/>
          <w:b w:val="0"/>
          <w:bCs w:val="0"/>
          <w:szCs w:val="20"/>
          <w:lang w:val="en-US" w:eastAsia="zh-CN"/>
        </w:rPr>
        <w:t>When we study the testability issues, the test procedure shall be clarified and unified firstly. In this section, we would like to state the test procedure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Training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Inference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Groundtruth phase (measurement of RSRP with high SNR)</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TE evaluation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11: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pStyle w:val="3"/>
        <w:rPr>
          <w:rFonts w:hint="default"/>
          <w:sz w:val="24"/>
          <w:szCs w:val="24"/>
          <w:highlight w:val="none"/>
          <w:lang w:val="en-US" w:eastAsia="zh-CN"/>
        </w:rPr>
      </w:pPr>
      <w:r>
        <w:rPr>
          <w:rFonts w:hint="eastAsia"/>
          <w:sz w:val="24"/>
          <w:szCs w:val="24"/>
          <w:highlight w:val="none"/>
          <w:lang w:val="en-US" w:eastAsia="zh-CN"/>
        </w:rPr>
        <w:t>2.5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In the last meeting, RAN4 has agreed the simulation assumption for studying the impact of measurement error on beam prediction accuracy. There are two steps for beam simulation:</w:t>
      </w:r>
    </w:p>
    <w:p>
      <w:pPr>
        <w:numPr>
          <w:ilvl w:val="0"/>
          <w:numId w:val="15"/>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Measurement error for different SNR</w:t>
      </w:r>
    </w:p>
    <w:p>
      <w:pPr>
        <w:numPr>
          <w:ilvl w:val="0"/>
          <w:numId w:val="15"/>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Prediction accuracy without measurement error and without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For the first part, the measurement error for different SNR is simulated as below. Here, we only simulate for AWGN channel. For fading channel, the measurement error may be larger. Besides, measurement error is dependent on baseband algorithm.</w:t>
      </w:r>
    </w:p>
    <w:p>
      <w:pPr>
        <w:spacing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Measurement error for AWGN channel</w:t>
      </w:r>
    </w:p>
    <w:tbl>
      <w:tblPr>
        <w:tblStyle w:val="19"/>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7"/>
        <w:gridCol w:w="1271"/>
        <w:gridCol w:w="1278"/>
        <w:gridCol w:w="1315"/>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3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SNR</w:t>
            </w:r>
          </w:p>
        </w:tc>
        <w:tc>
          <w:tcPr>
            <w:tcW w:w="1271"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c>
          <w:tcPr>
            <w:tcW w:w="1278"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-3dB</w:t>
            </w:r>
          </w:p>
        </w:tc>
        <w:tc>
          <w:tcPr>
            <w:tcW w:w="1315"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0dB</w:t>
            </w:r>
          </w:p>
        </w:tc>
        <w:tc>
          <w:tcPr>
            <w:tcW w:w="135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2937" w:type="dxa"/>
          </w:tcPr>
          <w:p>
            <w:pPr>
              <w:jc w:val="center"/>
              <w:rPr>
                <w:rFonts w:hint="default" w:ascii="Times New Roman" w:hAnsi="Times New Roman" w:cs="Times New Roman" w:eastAsiaTheme="minorEastAsia"/>
                <w:sz w:val="20"/>
                <w:szCs w:val="20"/>
                <w:lang w:val="en-US" w:eastAsia="zh-CN"/>
              </w:rPr>
            </w:pPr>
            <w:r>
              <w:rPr>
                <w:rFonts w:hint="eastAsia" w:eastAsia="宋体" w:cs="Times New Roman"/>
                <w:lang w:val="en-US" w:eastAsia="zh-CN"/>
              </w:rPr>
              <w:t>L1-RSRP measurement error (dB)</w:t>
            </w:r>
          </w:p>
        </w:tc>
        <w:tc>
          <w:tcPr>
            <w:tcW w:w="1271"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1.3</w:t>
            </w:r>
          </w:p>
        </w:tc>
        <w:tc>
          <w:tcPr>
            <w:tcW w:w="1278"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w:t>
            </w:r>
          </w:p>
        </w:tc>
        <w:tc>
          <w:tcPr>
            <w:tcW w:w="1315"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0.6</w:t>
            </w:r>
          </w:p>
        </w:tc>
        <w:tc>
          <w:tcPr>
            <w:tcW w:w="1357"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0.3</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12: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Secondly, we would apply the above measurement error to all Tx beams, where measurement error is modeled as Gaussian distribution. The following figure[3] provides us the concrete method to add the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5213350" cy="2381885"/>
            <wp:effectExtent l="0" t="0" r="0" b="1079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9"/>
                    <a:stretch>
                      <a:fillRect/>
                    </a:stretch>
                  </pic:blipFill>
                  <pic:spPr>
                    <a:xfrm>
                      <a:off x="0" y="0"/>
                      <a:ext cx="5213350" cy="2381885"/>
                    </a:xfrm>
                    <a:prstGeom prst="rect">
                      <a:avLst/>
                    </a:prstGeom>
                    <a:no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2"/>
          <w:szCs w:val="22"/>
          <w:lang w:val="en-US" w:eastAsia="zh-CN" w:bidi="ar"/>
        </w:rPr>
      </w:pPr>
      <w:r>
        <w:rPr>
          <w:rFonts w:hint="eastAsia" w:eastAsia="宋体" w:cs="Times New Roman"/>
          <w:kern w:val="0"/>
          <w:sz w:val="22"/>
          <w:szCs w:val="22"/>
          <w:lang w:val="en-US" w:eastAsia="zh-CN" w:bidi="ar"/>
        </w:rPr>
        <w:t xml:space="preserve">Figure 6 Add measurement error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We main provide the performance metrics Top-K/1 with ME and without ME as below:</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Top-K/1:</w:t>
      </w:r>
    </w:p>
    <w:tbl>
      <w:tblPr>
        <w:tblStyle w:val="1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2727"/>
        <w:gridCol w:w="1657"/>
        <w:gridCol w:w="1574"/>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861" w:type="dxa"/>
          </w:tcPr>
          <w:p>
            <w:pPr>
              <w:rPr>
                <w:rFonts w:hint="default" w:ascii="Times New Roman" w:hAnsi="Times New Roman" w:cs="Times New Roman"/>
                <w:sz w:val="21"/>
                <w:szCs w:val="21"/>
              </w:rPr>
            </w:pPr>
            <w:r>
              <w:rPr>
                <w:rFonts w:hint="default" w:ascii="Times New Roman" w:hAnsi="Times New Roman" w:cs="Times New Roman"/>
                <w:sz w:val="21"/>
                <w:szCs w:val="21"/>
              </w:rPr>
              <w:t>Measurement error (dB)</w:t>
            </w:r>
          </w:p>
        </w:tc>
        <w:tc>
          <w:tcPr>
            <w:tcW w:w="7658" w:type="dxa"/>
            <w:gridSpan w:val="4"/>
          </w:tcPr>
          <w:p>
            <w:pPr>
              <w:jc w:val="center"/>
              <w:rPr>
                <w:rFonts w:hint="default" w:ascii="Times New Roman" w:hAnsi="Times New Roman" w:cs="Times New Roman"/>
                <w:sz w:val="21"/>
                <w:szCs w:val="21"/>
              </w:rPr>
            </w:pPr>
            <w:r>
              <w:rPr>
                <w:rFonts w:hint="default" w:ascii="Times New Roman" w:hAnsi="Times New Roman" w:cs="Times New Roman"/>
                <w:sz w:val="21"/>
                <w:szCs w:val="21"/>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rPr>
                <w:rFonts w:hint="default" w:ascii="Times New Roman" w:hAnsi="Times New Roman" w:cs="Times New Roman"/>
                <w:sz w:val="21"/>
                <w:szCs w:val="21"/>
              </w:rPr>
            </w:pPr>
          </w:p>
        </w:tc>
        <w:tc>
          <w:tcPr>
            <w:tcW w:w="2727" w:type="dxa"/>
          </w:tcPr>
          <w:p>
            <w:pPr>
              <w:jc w:val="center"/>
              <w:rPr>
                <w:rFonts w:hint="default" w:ascii="Times New Roman" w:hAnsi="Times New Roman" w:cs="Times New Roman"/>
                <w:sz w:val="21"/>
                <w:szCs w:val="21"/>
              </w:rPr>
            </w:pPr>
            <w:r>
              <w:rPr>
                <w:rFonts w:hint="default" w:ascii="Times New Roman" w:hAnsi="Times New Roman" w:cs="Times New Roman"/>
                <w:sz w:val="21"/>
                <w:szCs w:val="21"/>
              </w:rPr>
              <w:t>K=2</w:t>
            </w:r>
          </w:p>
          <w:p>
            <w:pPr>
              <w:jc w:val="center"/>
              <w:rPr>
                <w:rFonts w:hint="default" w:ascii="Times New Roman" w:hAnsi="Times New Roman" w:cs="Times New Roman"/>
                <w:sz w:val="21"/>
                <w:szCs w:val="21"/>
                <w:lang w:val="en-US" w:eastAsia="zh-CN"/>
              </w:rPr>
            </w:pPr>
          </w:p>
        </w:tc>
        <w:tc>
          <w:tcPr>
            <w:tcW w:w="1657"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K=3</w:t>
            </w:r>
          </w:p>
        </w:tc>
        <w:tc>
          <w:tcPr>
            <w:tcW w:w="1574"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K=4</w:t>
            </w:r>
          </w:p>
        </w:tc>
        <w:tc>
          <w:tcPr>
            <w:tcW w:w="1700"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No error</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94.02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96.96</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98.20</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0.3</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92.18</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97.14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0.6</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90.10</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94.50</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96.76</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1</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87.34</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92.98</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cs="Times New Roman"/>
                <w:sz w:val="21"/>
                <w:szCs w:val="21"/>
                <w:highlight w:val="none"/>
                <w:lang w:val="en-US" w:eastAsia="zh-CN"/>
              </w:rPr>
            </w:pPr>
            <w:r>
              <w:rPr>
                <w:rFonts w:hint="eastAsia" w:cs="Times New Roman"/>
                <w:sz w:val="21"/>
                <w:szCs w:val="21"/>
                <w:highlight w:val="none"/>
                <w:lang w:val="en-US" w:eastAsia="zh-CN"/>
              </w:rPr>
              <w:t>1.3</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85.42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91.96</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95.04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96.62</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 xml:space="preserve">Based on the above prediction accuracy results on Top-K/1, we find that there will be performance degradation due to measurement error. For the metric Top-K/1 when K&gt;1, the prediction is getting larger and larger when K is larger and larger whatever the measurement error is added or not. To my understanding, this metric shall be considered as baseline based on simulation results.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13: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14: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15: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12: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13: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b/>
          <w:bCs/>
          <w:lang w:val="en-US" w:eastAsia="zh-CN"/>
        </w:rPr>
      </w:pPr>
      <w:r>
        <w:rPr>
          <w:rFonts w:hint="eastAsia"/>
          <w:b/>
          <w:bCs/>
          <w:lang w:val="en-US" w:eastAsia="zh-CN"/>
        </w:rPr>
        <w:t xml:space="preserve">Observation 5: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6: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3: The reported L1-RSRP shall be reported predicted L1-RSRP not the measured RSRP.</w:t>
      </w:r>
    </w:p>
    <w:p>
      <w:pPr>
        <w:jc w:val="both"/>
        <w:rPr>
          <w:rFonts w:hint="eastAsia"/>
          <w:b/>
          <w:bCs/>
          <w:lang w:val="en-US" w:eastAsia="zh-CN"/>
        </w:rPr>
      </w:pPr>
      <w:r>
        <w:rPr>
          <w:rFonts w:hint="eastAsia"/>
          <w:b/>
          <w:bCs/>
          <w:lang w:val="en-US" w:eastAsia="zh-CN"/>
        </w:rPr>
        <w:t>Observation 7: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8: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4: At least x=0 shall be considered in performance metrics.</w:t>
      </w:r>
    </w:p>
    <w:p>
      <w:pPr>
        <w:jc w:val="both"/>
        <w:rPr>
          <w:rFonts w:hint="eastAsia"/>
          <w:b/>
          <w:bCs/>
          <w:lang w:val="en-US" w:eastAsia="zh-CN"/>
        </w:rPr>
      </w:pPr>
      <w:r>
        <w:rPr>
          <w:rFonts w:hint="eastAsia"/>
          <w:b/>
          <w:bCs/>
          <w:lang w:val="en-US" w:eastAsia="zh-CN"/>
        </w:rPr>
        <w:t>Proposal 5: The concrete value of x when x&gt;0 shall be defined based on simulation results.</w:t>
      </w:r>
    </w:p>
    <w:p>
      <w:pPr>
        <w:jc w:val="both"/>
        <w:rPr>
          <w:rFonts w:hint="default"/>
          <w:lang w:val="en-US" w:eastAsia="zh-CN"/>
        </w:rPr>
      </w:pPr>
      <w:r>
        <w:rPr>
          <w:rFonts w:hint="eastAsia"/>
          <w:b/>
          <w:bCs/>
          <w:lang w:val="en-US" w:eastAsia="zh-CN"/>
        </w:rPr>
        <w:t>Proposal 6: The value of x shall not be set too large in order to guarantee the AI performance test and prevent UE easily pass the test.</w:t>
      </w:r>
      <w:r>
        <w:rPr>
          <w:rFonts w:hint="eastAsia"/>
          <w:lang w:val="en-US" w:eastAsia="zh-CN"/>
        </w:rPr>
        <w:t xml:space="preserve"> </w:t>
      </w:r>
    </w:p>
    <w:p>
      <w:pPr>
        <w:numPr>
          <w:ilvl w:val="-1"/>
          <w:numId w:val="0"/>
        </w:numPr>
        <w:ind w:left="0" w:firstLine="0"/>
        <w:jc w:val="both"/>
        <w:rPr>
          <w:rFonts w:hint="eastAsia"/>
          <w:b/>
          <w:bCs/>
          <w:lang w:val="en-US" w:eastAsia="zh-CN"/>
        </w:rPr>
      </w:pPr>
      <w:r>
        <w:rPr>
          <w:rFonts w:hint="eastAsia"/>
          <w:b/>
          <w:bCs/>
          <w:lang w:val="en-US" w:eastAsia="zh-CN"/>
        </w:rPr>
        <w:t>Proposal 7: The potential components in prediction delay contains three parts:</w:t>
      </w:r>
    </w:p>
    <w:p>
      <w:pPr>
        <w:numPr>
          <w:ilvl w:val="0"/>
          <w:numId w:val="13"/>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3"/>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3"/>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Proposal 8: The legacy L1-RSRP measurement period shall be as baseline or starting point.</w:t>
      </w:r>
    </w:p>
    <w:p>
      <w:pPr>
        <w:numPr>
          <w:ilvl w:val="-1"/>
          <w:numId w:val="0"/>
        </w:numPr>
        <w:spacing w:before="161" w:beforeLines="50" w:after="161" w:afterLines="50"/>
        <w:ind w:left="0" w:firstLine="0"/>
        <w:jc w:val="both"/>
        <w:rPr>
          <w:rFonts w:hint="eastAsia"/>
          <w:b/>
          <w:bCs/>
          <w:highlight w:val="none"/>
          <w:lang w:val="en-US" w:eastAsia="zh-CN"/>
        </w:rPr>
      </w:pPr>
      <w:r>
        <w:rPr>
          <w:rFonts w:hint="eastAsia"/>
          <w:b/>
          <w:bCs/>
          <w:lang w:val="en-US" w:eastAsia="zh-CN"/>
        </w:rPr>
        <w:t>Proposal 9: Postpone discussion on reporting requirements until other WGs reach the conclusion on rep</w:t>
      </w:r>
      <w:r>
        <w:rPr>
          <w:rFonts w:hint="eastAsia"/>
          <w:b/>
          <w:bCs/>
          <w:highlight w:val="none"/>
          <w:lang w:val="en-US" w:eastAsia="zh-CN"/>
        </w:rPr>
        <w:t>orting mechanism.</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9: Different TCI state conditions mean the different TCI state switching delay.</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 xml:space="preserve">Observation 10: </w:t>
      </w:r>
      <w:r>
        <w:rPr>
          <w:rFonts w:hint="eastAsia"/>
          <w:b/>
          <w:bCs/>
          <w:lang w:eastAsia="zh-CN"/>
        </w:rPr>
        <w:t>When the UE is aware of the current RX</w:t>
      </w:r>
      <w:r>
        <w:rPr>
          <w:rFonts w:hint="eastAsia"/>
          <w:b/>
          <w:bCs/>
          <w:lang w:val="en-US" w:eastAsia="zh-CN"/>
        </w:rPr>
        <w:t xml:space="preserve"> </w:t>
      </w:r>
      <w:r>
        <w:rPr>
          <w:rFonts w:hint="eastAsia"/>
          <w:b/>
          <w:bCs/>
          <w:lang w:eastAsia="zh-CN"/>
        </w:rPr>
        <w:t>beam it is utilizing</w:t>
      </w:r>
      <w:r>
        <w:rPr>
          <w:rFonts w:hint="eastAsia"/>
          <w:b/>
          <w:bCs/>
          <w:lang w:val="en-US" w:eastAsia="zh-CN"/>
        </w:rPr>
        <w:t>, TCI state activation delay is reduced. Otherwise, TCI state activation delay is not reduced.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11: There are two situation for considering the TCI state activation:</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1: The best predicted Tx beam ID/RSRP belongs to Set B.</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2: The best predicted Tx beam ID/RSRP doesn’t not belong to Set B.</w:t>
      </w:r>
    </w:p>
    <w:p>
      <w:pPr>
        <w:numPr>
          <w:ilvl w:val="-1"/>
          <w:numId w:val="0"/>
        </w:numPr>
        <w:spacing w:before="161" w:beforeLines="50" w:after="161" w:afterLines="50"/>
        <w:ind w:left="0" w:firstLine="0"/>
        <w:jc w:val="both"/>
        <w:rPr>
          <w:rFonts w:hint="eastAsia" w:eastAsia="Times New Roman"/>
          <w:b/>
          <w:bCs/>
          <w:lang w:val="en-US" w:eastAsia="zh-CN"/>
        </w:rPr>
      </w:pPr>
      <w:r>
        <w:rPr>
          <w:rFonts w:hint="eastAsia"/>
          <w:b/>
          <w:bCs/>
          <w:lang w:val="en-US" w:eastAsia="zh-CN"/>
        </w:rPr>
        <w:t xml:space="preserve">Proposal 10: UE knows the Rx beam or the RS is in the Set B and the RS is also </w:t>
      </w:r>
      <w:r>
        <w:rPr>
          <w:rFonts w:hint="eastAsia" w:eastAsia="Times New Roman"/>
          <w:b/>
          <w:bCs/>
          <w:lang w:val="en-US" w:eastAsia="zh-CN"/>
        </w:rPr>
        <w:t>the L1-RSRP report by UE within 1280ms before TCI state activation, the TCI state is known. Otherwise, the TCI state is unknown.</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11: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13: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14: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15: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12: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Times New Roman"/>
          <w:b/>
          <w:bCs/>
          <w:lang w:val="en-US" w:eastAsia="zh-CN"/>
        </w:rPr>
      </w:pPr>
      <w:r>
        <w:rPr>
          <w:rFonts w:hint="eastAsia" w:eastAsia="宋体"/>
          <w:b/>
          <w:bCs/>
          <w:szCs w:val="20"/>
          <w:lang w:val="en-US" w:eastAsia="zh-CN"/>
        </w:rPr>
        <w:t>Proposal 13: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16"/>
        </w:numPr>
        <w:ind w:firstLine="0"/>
        <w:rPr>
          <w:lang w:val="en-US"/>
        </w:rPr>
      </w:pPr>
      <w:bookmarkStart w:id="5" w:name="_Ref101451885"/>
      <w:r>
        <w:rPr>
          <w:rFonts w:hint="eastAsia"/>
          <w:lang w:val="en-US"/>
        </w:rPr>
        <w:t>RP-213599, “New SI: Study on Artificial Intelligence (AI)/Machine Learning (ML) for NR Air Interface”, 3GPP RAN Plenary</w:t>
      </w:r>
      <w:bookmarkEnd w:id="5"/>
    </w:p>
    <w:p>
      <w:pPr>
        <w:pStyle w:val="7"/>
        <w:numPr>
          <w:ilvl w:val="0"/>
          <w:numId w:val="16"/>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16"/>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2">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3">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4">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252836A"/>
    <w:multiLevelType w:val="singleLevel"/>
    <w:tmpl w:val="2252836A"/>
    <w:lvl w:ilvl="0" w:tentative="0">
      <w:start w:val="1"/>
      <w:numFmt w:val="bullet"/>
      <w:lvlText w:val=""/>
      <w:lvlJc w:val="left"/>
      <w:pPr>
        <w:ind w:left="420" w:hanging="420"/>
      </w:pPr>
      <w:rPr>
        <w:rFonts w:hint="default" w:ascii="Wingdings" w:hAnsi="Wingdings"/>
      </w:rPr>
    </w:lvl>
  </w:abstractNum>
  <w:abstractNum w:abstractNumId="8">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9">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0">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3">
    <w:nsid w:val="6AEA6AA4"/>
    <w:multiLevelType w:val="multilevel"/>
    <w:tmpl w:val="6AEA6A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10"/>
  </w:num>
  <w:num w:numId="3">
    <w:abstractNumId w:val="15"/>
  </w:num>
  <w:num w:numId="4">
    <w:abstractNumId w:val="6"/>
  </w:num>
  <w:num w:numId="5">
    <w:abstractNumId w:val="11"/>
  </w:num>
  <w:num w:numId="6">
    <w:abstractNumId w:val="3"/>
  </w:num>
  <w:num w:numId="7">
    <w:abstractNumId w:val="8"/>
  </w:num>
  <w:num w:numId="8">
    <w:abstractNumId w:val="2"/>
  </w:num>
  <w:num w:numId="9">
    <w:abstractNumId w:val="1"/>
  </w:num>
  <w:num w:numId="10">
    <w:abstractNumId w:val="12"/>
  </w:num>
  <w:num w:numId="11">
    <w:abstractNumId w:val="5"/>
  </w:num>
  <w:num w:numId="12">
    <w:abstractNumId w:val="4"/>
  </w:num>
  <w:num w:numId="13">
    <w:abstractNumId w:val="9"/>
  </w:num>
  <w:num w:numId="14">
    <w:abstractNumId w:val="13"/>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535E"/>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85525"/>
    <w:rsid w:val="01415912"/>
    <w:rsid w:val="01491230"/>
    <w:rsid w:val="014E306B"/>
    <w:rsid w:val="01583662"/>
    <w:rsid w:val="015E1342"/>
    <w:rsid w:val="01633F5B"/>
    <w:rsid w:val="016853DB"/>
    <w:rsid w:val="01732AAC"/>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1D7764"/>
    <w:rsid w:val="02235236"/>
    <w:rsid w:val="02242FE2"/>
    <w:rsid w:val="022B3D13"/>
    <w:rsid w:val="02352785"/>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D3440B"/>
    <w:rsid w:val="02D55583"/>
    <w:rsid w:val="02E14C48"/>
    <w:rsid w:val="02ED42DD"/>
    <w:rsid w:val="02EE7A68"/>
    <w:rsid w:val="02F827B5"/>
    <w:rsid w:val="02FB0DE2"/>
    <w:rsid w:val="02FC44A4"/>
    <w:rsid w:val="0301505B"/>
    <w:rsid w:val="03157F31"/>
    <w:rsid w:val="032569FB"/>
    <w:rsid w:val="033108A2"/>
    <w:rsid w:val="033169B2"/>
    <w:rsid w:val="033B56D0"/>
    <w:rsid w:val="033F28BF"/>
    <w:rsid w:val="03486E5D"/>
    <w:rsid w:val="03572688"/>
    <w:rsid w:val="036F1A46"/>
    <w:rsid w:val="037339E3"/>
    <w:rsid w:val="037451B3"/>
    <w:rsid w:val="0375443D"/>
    <w:rsid w:val="03786440"/>
    <w:rsid w:val="037D0CB3"/>
    <w:rsid w:val="03AC7B94"/>
    <w:rsid w:val="03B07C89"/>
    <w:rsid w:val="03B96EA9"/>
    <w:rsid w:val="03D4720A"/>
    <w:rsid w:val="03D93DB6"/>
    <w:rsid w:val="03E227A7"/>
    <w:rsid w:val="03F201A1"/>
    <w:rsid w:val="040D7E23"/>
    <w:rsid w:val="04153D40"/>
    <w:rsid w:val="041D56C0"/>
    <w:rsid w:val="042A49C3"/>
    <w:rsid w:val="042C4E2B"/>
    <w:rsid w:val="042C6F72"/>
    <w:rsid w:val="042F48EA"/>
    <w:rsid w:val="04324BA4"/>
    <w:rsid w:val="04443B68"/>
    <w:rsid w:val="04457368"/>
    <w:rsid w:val="044A489D"/>
    <w:rsid w:val="044C2EE9"/>
    <w:rsid w:val="04573E4B"/>
    <w:rsid w:val="04580326"/>
    <w:rsid w:val="045F4DF2"/>
    <w:rsid w:val="04654053"/>
    <w:rsid w:val="04676B50"/>
    <w:rsid w:val="04793516"/>
    <w:rsid w:val="047A3CFF"/>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C0C"/>
    <w:rsid w:val="05047AA9"/>
    <w:rsid w:val="0513096D"/>
    <w:rsid w:val="051800EA"/>
    <w:rsid w:val="05225CD8"/>
    <w:rsid w:val="05317828"/>
    <w:rsid w:val="05332F81"/>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B96530"/>
    <w:rsid w:val="05BB5AB9"/>
    <w:rsid w:val="05C15B39"/>
    <w:rsid w:val="05C42923"/>
    <w:rsid w:val="05C84C51"/>
    <w:rsid w:val="05D40DEE"/>
    <w:rsid w:val="05D55F1F"/>
    <w:rsid w:val="05E53FBB"/>
    <w:rsid w:val="05F61CD7"/>
    <w:rsid w:val="05F9582B"/>
    <w:rsid w:val="05FE3860"/>
    <w:rsid w:val="060F0D04"/>
    <w:rsid w:val="060F76E4"/>
    <w:rsid w:val="061B4495"/>
    <w:rsid w:val="061C3F4A"/>
    <w:rsid w:val="06226EA6"/>
    <w:rsid w:val="06233AA0"/>
    <w:rsid w:val="062522ED"/>
    <w:rsid w:val="062C21B1"/>
    <w:rsid w:val="063762B0"/>
    <w:rsid w:val="063A3B6F"/>
    <w:rsid w:val="06414B04"/>
    <w:rsid w:val="06431A76"/>
    <w:rsid w:val="064340F9"/>
    <w:rsid w:val="064E6EC7"/>
    <w:rsid w:val="066404E1"/>
    <w:rsid w:val="06694467"/>
    <w:rsid w:val="068C5A54"/>
    <w:rsid w:val="069053B0"/>
    <w:rsid w:val="06925482"/>
    <w:rsid w:val="0696055B"/>
    <w:rsid w:val="06963BA6"/>
    <w:rsid w:val="06A00E6B"/>
    <w:rsid w:val="06A14A2E"/>
    <w:rsid w:val="06C66BC4"/>
    <w:rsid w:val="06C745AE"/>
    <w:rsid w:val="06CC7EAD"/>
    <w:rsid w:val="06DB57CD"/>
    <w:rsid w:val="06DC5FA2"/>
    <w:rsid w:val="06DD6751"/>
    <w:rsid w:val="06E573E1"/>
    <w:rsid w:val="06EA5B71"/>
    <w:rsid w:val="06EB12EA"/>
    <w:rsid w:val="06F366F7"/>
    <w:rsid w:val="06F97293"/>
    <w:rsid w:val="06FC2F86"/>
    <w:rsid w:val="06FC49F0"/>
    <w:rsid w:val="06FD1204"/>
    <w:rsid w:val="07167BB0"/>
    <w:rsid w:val="07175632"/>
    <w:rsid w:val="07175F1D"/>
    <w:rsid w:val="07405608"/>
    <w:rsid w:val="07464A8A"/>
    <w:rsid w:val="074C2609"/>
    <w:rsid w:val="07530B70"/>
    <w:rsid w:val="0759303D"/>
    <w:rsid w:val="07770ECE"/>
    <w:rsid w:val="07782C88"/>
    <w:rsid w:val="0793463A"/>
    <w:rsid w:val="07967F23"/>
    <w:rsid w:val="079B0830"/>
    <w:rsid w:val="079F680F"/>
    <w:rsid w:val="07A45702"/>
    <w:rsid w:val="07CD3CDD"/>
    <w:rsid w:val="07D56CE9"/>
    <w:rsid w:val="07ED0B0D"/>
    <w:rsid w:val="07EF4010"/>
    <w:rsid w:val="07FF7B2E"/>
    <w:rsid w:val="08062C9C"/>
    <w:rsid w:val="080B49C4"/>
    <w:rsid w:val="08130047"/>
    <w:rsid w:val="08130D4D"/>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E0696"/>
    <w:rsid w:val="089009EB"/>
    <w:rsid w:val="08913008"/>
    <w:rsid w:val="08A96B22"/>
    <w:rsid w:val="08AA60F0"/>
    <w:rsid w:val="08AC1471"/>
    <w:rsid w:val="08AE56A1"/>
    <w:rsid w:val="08B37272"/>
    <w:rsid w:val="08B40674"/>
    <w:rsid w:val="08BA7814"/>
    <w:rsid w:val="08BC1A4A"/>
    <w:rsid w:val="08C03B61"/>
    <w:rsid w:val="08C068E7"/>
    <w:rsid w:val="08C62C47"/>
    <w:rsid w:val="08C91775"/>
    <w:rsid w:val="08D40E0B"/>
    <w:rsid w:val="08EA2407"/>
    <w:rsid w:val="08F04EB8"/>
    <w:rsid w:val="08FE26E3"/>
    <w:rsid w:val="09015152"/>
    <w:rsid w:val="09164F64"/>
    <w:rsid w:val="09313723"/>
    <w:rsid w:val="09350FDF"/>
    <w:rsid w:val="093B76A2"/>
    <w:rsid w:val="09523F3D"/>
    <w:rsid w:val="095274DB"/>
    <w:rsid w:val="0955756B"/>
    <w:rsid w:val="095835E2"/>
    <w:rsid w:val="0968167E"/>
    <w:rsid w:val="09716BCA"/>
    <w:rsid w:val="098B2CC4"/>
    <w:rsid w:val="09953B9E"/>
    <w:rsid w:val="09C83025"/>
    <w:rsid w:val="09C86C9A"/>
    <w:rsid w:val="09CF30F8"/>
    <w:rsid w:val="09D25747"/>
    <w:rsid w:val="09D26037"/>
    <w:rsid w:val="09D44319"/>
    <w:rsid w:val="09D64B23"/>
    <w:rsid w:val="09E23546"/>
    <w:rsid w:val="09E35B70"/>
    <w:rsid w:val="09E37071"/>
    <w:rsid w:val="09E644B8"/>
    <w:rsid w:val="09E7434B"/>
    <w:rsid w:val="09E75D29"/>
    <w:rsid w:val="0A033A7B"/>
    <w:rsid w:val="0A110812"/>
    <w:rsid w:val="0A154A48"/>
    <w:rsid w:val="0A1A6F23"/>
    <w:rsid w:val="0A202BEA"/>
    <w:rsid w:val="0A333840"/>
    <w:rsid w:val="0A3F57B0"/>
    <w:rsid w:val="0A4E52DF"/>
    <w:rsid w:val="0A4F6CAF"/>
    <w:rsid w:val="0A52707D"/>
    <w:rsid w:val="0A565A84"/>
    <w:rsid w:val="0A596A08"/>
    <w:rsid w:val="0A794B51"/>
    <w:rsid w:val="0A7E33C5"/>
    <w:rsid w:val="0A822C92"/>
    <w:rsid w:val="0A864054"/>
    <w:rsid w:val="0A867423"/>
    <w:rsid w:val="0A932C90"/>
    <w:rsid w:val="0A9764ED"/>
    <w:rsid w:val="0AAD3763"/>
    <w:rsid w:val="0AAE6112"/>
    <w:rsid w:val="0AAF4E64"/>
    <w:rsid w:val="0AB155C2"/>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7217"/>
    <w:rsid w:val="0B331BEE"/>
    <w:rsid w:val="0B3D3C2F"/>
    <w:rsid w:val="0B4B42E4"/>
    <w:rsid w:val="0B642DAB"/>
    <w:rsid w:val="0B6D7260"/>
    <w:rsid w:val="0B704CA2"/>
    <w:rsid w:val="0B75558A"/>
    <w:rsid w:val="0B765B5B"/>
    <w:rsid w:val="0B83720D"/>
    <w:rsid w:val="0B9B163F"/>
    <w:rsid w:val="0BA33F49"/>
    <w:rsid w:val="0BA97EAB"/>
    <w:rsid w:val="0BB03B50"/>
    <w:rsid w:val="0BB0429A"/>
    <w:rsid w:val="0BB124BD"/>
    <w:rsid w:val="0BB261FB"/>
    <w:rsid w:val="0BB43441"/>
    <w:rsid w:val="0BB858A0"/>
    <w:rsid w:val="0BBC2C05"/>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369B"/>
    <w:rsid w:val="0C394019"/>
    <w:rsid w:val="0C4241D4"/>
    <w:rsid w:val="0C457178"/>
    <w:rsid w:val="0C4A769D"/>
    <w:rsid w:val="0C4D1042"/>
    <w:rsid w:val="0C8D321E"/>
    <w:rsid w:val="0C923DA2"/>
    <w:rsid w:val="0CA61AD0"/>
    <w:rsid w:val="0CAD77B7"/>
    <w:rsid w:val="0CB22A47"/>
    <w:rsid w:val="0CB31CC9"/>
    <w:rsid w:val="0CB463D4"/>
    <w:rsid w:val="0CBD4B01"/>
    <w:rsid w:val="0CC642C6"/>
    <w:rsid w:val="0CD05342"/>
    <w:rsid w:val="0CDB0C81"/>
    <w:rsid w:val="0CDB4E5B"/>
    <w:rsid w:val="0CDB70AC"/>
    <w:rsid w:val="0CE21AB1"/>
    <w:rsid w:val="0CEA706C"/>
    <w:rsid w:val="0CF550D2"/>
    <w:rsid w:val="0CF81195"/>
    <w:rsid w:val="0CFB25DD"/>
    <w:rsid w:val="0CFE4E6B"/>
    <w:rsid w:val="0D01207F"/>
    <w:rsid w:val="0D0C4CC8"/>
    <w:rsid w:val="0D19658C"/>
    <w:rsid w:val="0D1D50CE"/>
    <w:rsid w:val="0D214674"/>
    <w:rsid w:val="0D2D6A1B"/>
    <w:rsid w:val="0D3273D0"/>
    <w:rsid w:val="0D3A6AC1"/>
    <w:rsid w:val="0D3B0FD3"/>
    <w:rsid w:val="0D3F5CE9"/>
    <w:rsid w:val="0D5B6CCD"/>
    <w:rsid w:val="0D644FF9"/>
    <w:rsid w:val="0D645815"/>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F1B83"/>
    <w:rsid w:val="0E05740D"/>
    <w:rsid w:val="0E1032A1"/>
    <w:rsid w:val="0E1A3BB0"/>
    <w:rsid w:val="0E260FA4"/>
    <w:rsid w:val="0E3E1628"/>
    <w:rsid w:val="0E3F1D32"/>
    <w:rsid w:val="0E475979"/>
    <w:rsid w:val="0E4B437F"/>
    <w:rsid w:val="0E4C1F50"/>
    <w:rsid w:val="0E52104E"/>
    <w:rsid w:val="0E6A585C"/>
    <w:rsid w:val="0E7145BF"/>
    <w:rsid w:val="0E8841E4"/>
    <w:rsid w:val="0E8A7F6C"/>
    <w:rsid w:val="0E967088"/>
    <w:rsid w:val="0E9A7A43"/>
    <w:rsid w:val="0EA0188B"/>
    <w:rsid w:val="0EA46D61"/>
    <w:rsid w:val="0ED777E6"/>
    <w:rsid w:val="0EDE7618"/>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D74F1"/>
    <w:rsid w:val="0F5229B3"/>
    <w:rsid w:val="0F553938"/>
    <w:rsid w:val="0F626F3C"/>
    <w:rsid w:val="0F7656DC"/>
    <w:rsid w:val="0F8E4CED"/>
    <w:rsid w:val="0F9B659E"/>
    <w:rsid w:val="0FAD3D1E"/>
    <w:rsid w:val="0FBF6D8B"/>
    <w:rsid w:val="0FD521FE"/>
    <w:rsid w:val="0FE108E8"/>
    <w:rsid w:val="0FE25375"/>
    <w:rsid w:val="0FE33460"/>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9272E"/>
    <w:rsid w:val="106B567E"/>
    <w:rsid w:val="106C3C7A"/>
    <w:rsid w:val="10742570"/>
    <w:rsid w:val="1078522C"/>
    <w:rsid w:val="107D2892"/>
    <w:rsid w:val="10807813"/>
    <w:rsid w:val="10845E1B"/>
    <w:rsid w:val="10997F43"/>
    <w:rsid w:val="109B0DCE"/>
    <w:rsid w:val="10A226E9"/>
    <w:rsid w:val="10B073B3"/>
    <w:rsid w:val="10B50F76"/>
    <w:rsid w:val="10BA0847"/>
    <w:rsid w:val="10BE2C61"/>
    <w:rsid w:val="10D64D2E"/>
    <w:rsid w:val="10DE7BAE"/>
    <w:rsid w:val="10DF0A9B"/>
    <w:rsid w:val="11005D0B"/>
    <w:rsid w:val="110A6481"/>
    <w:rsid w:val="110B7857"/>
    <w:rsid w:val="110C1984"/>
    <w:rsid w:val="11177D15"/>
    <w:rsid w:val="1124702B"/>
    <w:rsid w:val="11254AAD"/>
    <w:rsid w:val="11441260"/>
    <w:rsid w:val="11460115"/>
    <w:rsid w:val="114A78AB"/>
    <w:rsid w:val="11524FFA"/>
    <w:rsid w:val="1155307D"/>
    <w:rsid w:val="11555312"/>
    <w:rsid w:val="11574382"/>
    <w:rsid w:val="115B080A"/>
    <w:rsid w:val="1165653D"/>
    <w:rsid w:val="116A1D1E"/>
    <w:rsid w:val="1175349A"/>
    <w:rsid w:val="117552CD"/>
    <w:rsid w:val="1176116C"/>
    <w:rsid w:val="118F429B"/>
    <w:rsid w:val="1194379C"/>
    <w:rsid w:val="119C4486"/>
    <w:rsid w:val="11B86BB3"/>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F07E2"/>
    <w:rsid w:val="123029BC"/>
    <w:rsid w:val="123A2F95"/>
    <w:rsid w:val="12471B8F"/>
    <w:rsid w:val="125943EC"/>
    <w:rsid w:val="125C6285"/>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83D49"/>
    <w:rsid w:val="13094AF6"/>
    <w:rsid w:val="130B1527"/>
    <w:rsid w:val="1312769F"/>
    <w:rsid w:val="1316525D"/>
    <w:rsid w:val="131C6E1F"/>
    <w:rsid w:val="13297454"/>
    <w:rsid w:val="133D5349"/>
    <w:rsid w:val="134428A9"/>
    <w:rsid w:val="13532AE8"/>
    <w:rsid w:val="135B2067"/>
    <w:rsid w:val="13825C11"/>
    <w:rsid w:val="13851644"/>
    <w:rsid w:val="138F74A5"/>
    <w:rsid w:val="13935EAB"/>
    <w:rsid w:val="13961EAE"/>
    <w:rsid w:val="139700CB"/>
    <w:rsid w:val="139D72BF"/>
    <w:rsid w:val="13AC69B7"/>
    <w:rsid w:val="13B02C53"/>
    <w:rsid w:val="13B2198A"/>
    <w:rsid w:val="13B93F8C"/>
    <w:rsid w:val="13BB37EC"/>
    <w:rsid w:val="13CF248D"/>
    <w:rsid w:val="13E05FAA"/>
    <w:rsid w:val="13ED2C6C"/>
    <w:rsid w:val="13F526CC"/>
    <w:rsid w:val="13F83651"/>
    <w:rsid w:val="14006D19"/>
    <w:rsid w:val="14011322"/>
    <w:rsid w:val="14021377"/>
    <w:rsid w:val="1419602F"/>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C57172"/>
    <w:rsid w:val="14C97023"/>
    <w:rsid w:val="14C97B45"/>
    <w:rsid w:val="14CA62B3"/>
    <w:rsid w:val="14CE1E8A"/>
    <w:rsid w:val="14D144FF"/>
    <w:rsid w:val="14E248D3"/>
    <w:rsid w:val="14E31122"/>
    <w:rsid w:val="14E51FD5"/>
    <w:rsid w:val="14EE31A4"/>
    <w:rsid w:val="14F93614"/>
    <w:rsid w:val="14FC1BFA"/>
    <w:rsid w:val="15004221"/>
    <w:rsid w:val="1504288A"/>
    <w:rsid w:val="150A6991"/>
    <w:rsid w:val="151F1BB4"/>
    <w:rsid w:val="15353059"/>
    <w:rsid w:val="1537655C"/>
    <w:rsid w:val="1538782E"/>
    <w:rsid w:val="153D7F2D"/>
    <w:rsid w:val="154B0A80"/>
    <w:rsid w:val="154F5CF7"/>
    <w:rsid w:val="155428A0"/>
    <w:rsid w:val="15557D76"/>
    <w:rsid w:val="15767345"/>
    <w:rsid w:val="157C3FB4"/>
    <w:rsid w:val="158F56D1"/>
    <w:rsid w:val="159D2C28"/>
    <w:rsid w:val="159F6E1C"/>
    <w:rsid w:val="15A22037"/>
    <w:rsid w:val="15AD52A1"/>
    <w:rsid w:val="15AE749F"/>
    <w:rsid w:val="15B249E7"/>
    <w:rsid w:val="15BA32B2"/>
    <w:rsid w:val="15BD50DF"/>
    <w:rsid w:val="15C4558A"/>
    <w:rsid w:val="15C64B46"/>
    <w:rsid w:val="15C9134E"/>
    <w:rsid w:val="15CC20F0"/>
    <w:rsid w:val="15CD5DFC"/>
    <w:rsid w:val="15ED3E9B"/>
    <w:rsid w:val="15F25971"/>
    <w:rsid w:val="160864F8"/>
    <w:rsid w:val="160F133F"/>
    <w:rsid w:val="161B298B"/>
    <w:rsid w:val="16232D5C"/>
    <w:rsid w:val="162D57EF"/>
    <w:rsid w:val="162E5A31"/>
    <w:rsid w:val="162E6AF4"/>
    <w:rsid w:val="163E1906"/>
    <w:rsid w:val="164514BE"/>
    <w:rsid w:val="165178EA"/>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EF1130"/>
    <w:rsid w:val="16F5303A"/>
    <w:rsid w:val="16F94968"/>
    <w:rsid w:val="16FB7CA4"/>
    <w:rsid w:val="17021A07"/>
    <w:rsid w:val="170C35A6"/>
    <w:rsid w:val="170F06AA"/>
    <w:rsid w:val="171D4419"/>
    <w:rsid w:val="171D4EE1"/>
    <w:rsid w:val="17225508"/>
    <w:rsid w:val="17245068"/>
    <w:rsid w:val="172501AB"/>
    <w:rsid w:val="173906A7"/>
    <w:rsid w:val="173F6931"/>
    <w:rsid w:val="175C099D"/>
    <w:rsid w:val="175F4D5C"/>
    <w:rsid w:val="176B680F"/>
    <w:rsid w:val="176D30BC"/>
    <w:rsid w:val="176E7480"/>
    <w:rsid w:val="1779463B"/>
    <w:rsid w:val="177E3E97"/>
    <w:rsid w:val="1782289D"/>
    <w:rsid w:val="178B0E7C"/>
    <w:rsid w:val="178B572B"/>
    <w:rsid w:val="178D3DDA"/>
    <w:rsid w:val="178E1F33"/>
    <w:rsid w:val="17927D71"/>
    <w:rsid w:val="17952452"/>
    <w:rsid w:val="17A36655"/>
    <w:rsid w:val="17A6739A"/>
    <w:rsid w:val="17AD36D6"/>
    <w:rsid w:val="17B07FBC"/>
    <w:rsid w:val="17B51F07"/>
    <w:rsid w:val="17BF2702"/>
    <w:rsid w:val="17C00184"/>
    <w:rsid w:val="17CD54A1"/>
    <w:rsid w:val="17CF569F"/>
    <w:rsid w:val="17D02F25"/>
    <w:rsid w:val="17D71D1E"/>
    <w:rsid w:val="17DE3443"/>
    <w:rsid w:val="17E206E8"/>
    <w:rsid w:val="17E52942"/>
    <w:rsid w:val="1807227C"/>
    <w:rsid w:val="18083DFB"/>
    <w:rsid w:val="18094488"/>
    <w:rsid w:val="180A6E32"/>
    <w:rsid w:val="1813505F"/>
    <w:rsid w:val="1815568F"/>
    <w:rsid w:val="18191B17"/>
    <w:rsid w:val="181D6874"/>
    <w:rsid w:val="181F0A62"/>
    <w:rsid w:val="18204145"/>
    <w:rsid w:val="1824372C"/>
    <w:rsid w:val="18267035"/>
    <w:rsid w:val="183F2CD2"/>
    <w:rsid w:val="1849373C"/>
    <w:rsid w:val="184D223E"/>
    <w:rsid w:val="1856157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67F66"/>
    <w:rsid w:val="18E83469"/>
    <w:rsid w:val="18F35864"/>
    <w:rsid w:val="18F36BA5"/>
    <w:rsid w:val="18F64A8A"/>
    <w:rsid w:val="18FE1D82"/>
    <w:rsid w:val="1901754C"/>
    <w:rsid w:val="1910603C"/>
    <w:rsid w:val="19191C06"/>
    <w:rsid w:val="192F6848"/>
    <w:rsid w:val="194F68C1"/>
    <w:rsid w:val="195D7D48"/>
    <w:rsid w:val="19794F57"/>
    <w:rsid w:val="19851E64"/>
    <w:rsid w:val="19886272"/>
    <w:rsid w:val="198C3F77"/>
    <w:rsid w:val="1994791E"/>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721BD5"/>
    <w:rsid w:val="1A7D6DCB"/>
    <w:rsid w:val="1A833BC1"/>
    <w:rsid w:val="1A8C692E"/>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574FB9"/>
    <w:rsid w:val="1B61065A"/>
    <w:rsid w:val="1B777005"/>
    <w:rsid w:val="1B83056C"/>
    <w:rsid w:val="1B8A61BD"/>
    <w:rsid w:val="1B8C14FC"/>
    <w:rsid w:val="1B965420"/>
    <w:rsid w:val="1B9759FC"/>
    <w:rsid w:val="1B9C1BA1"/>
    <w:rsid w:val="1BA106C1"/>
    <w:rsid w:val="1BA323E9"/>
    <w:rsid w:val="1BAF299A"/>
    <w:rsid w:val="1BB51FFA"/>
    <w:rsid w:val="1BB96698"/>
    <w:rsid w:val="1BBF3927"/>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A167C"/>
    <w:rsid w:val="1C9F691E"/>
    <w:rsid w:val="1CA25780"/>
    <w:rsid w:val="1CA46512"/>
    <w:rsid w:val="1CA86413"/>
    <w:rsid w:val="1CB42226"/>
    <w:rsid w:val="1CB90797"/>
    <w:rsid w:val="1CBA2101"/>
    <w:rsid w:val="1CBC1C20"/>
    <w:rsid w:val="1CC742E6"/>
    <w:rsid w:val="1CD47626"/>
    <w:rsid w:val="1CF56512"/>
    <w:rsid w:val="1D0573D7"/>
    <w:rsid w:val="1D0927CD"/>
    <w:rsid w:val="1D134375"/>
    <w:rsid w:val="1D153DC4"/>
    <w:rsid w:val="1D170C45"/>
    <w:rsid w:val="1D1F2520"/>
    <w:rsid w:val="1D20042B"/>
    <w:rsid w:val="1D223E0B"/>
    <w:rsid w:val="1D317C9F"/>
    <w:rsid w:val="1D556162"/>
    <w:rsid w:val="1D677336"/>
    <w:rsid w:val="1D712D8A"/>
    <w:rsid w:val="1D7D25B3"/>
    <w:rsid w:val="1D8D1F09"/>
    <w:rsid w:val="1D8F2E8D"/>
    <w:rsid w:val="1D962818"/>
    <w:rsid w:val="1DA55031"/>
    <w:rsid w:val="1DAA14B9"/>
    <w:rsid w:val="1DB26E14"/>
    <w:rsid w:val="1DD871C9"/>
    <w:rsid w:val="1DDD2F8D"/>
    <w:rsid w:val="1DDD518B"/>
    <w:rsid w:val="1DF26589"/>
    <w:rsid w:val="1DF42BB2"/>
    <w:rsid w:val="1E091CFB"/>
    <w:rsid w:val="1E0D05D6"/>
    <w:rsid w:val="1E132F88"/>
    <w:rsid w:val="1E264686"/>
    <w:rsid w:val="1E2867E9"/>
    <w:rsid w:val="1E2F1D22"/>
    <w:rsid w:val="1E2F7C3C"/>
    <w:rsid w:val="1E3D599F"/>
    <w:rsid w:val="1E460846"/>
    <w:rsid w:val="1E573E01"/>
    <w:rsid w:val="1E6131E6"/>
    <w:rsid w:val="1E651BEC"/>
    <w:rsid w:val="1E6A142D"/>
    <w:rsid w:val="1E6B293B"/>
    <w:rsid w:val="1E7C624E"/>
    <w:rsid w:val="1E7F0A1A"/>
    <w:rsid w:val="1E80284A"/>
    <w:rsid w:val="1E803A9B"/>
    <w:rsid w:val="1E83119C"/>
    <w:rsid w:val="1E853F6F"/>
    <w:rsid w:val="1E8A6D7C"/>
    <w:rsid w:val="1E9062B3"/>
    <w:rsid w:val="1E942861"/>
    <w:rsid w:val="1E9C7B48"/>
    <w:rsid w:val="1E9C7BCC"/>
    <w:rsid w:val="1E9D068A"/>
    <w:rsid w:val="1EA72655"/>
    <w:rsid w:val="1EBB1865"/>
    <w:rsid w:val="1EC06DEC"/>
    <w:rsid w:val="1EC24504"/>
    <w:rsid w:val="1EC70A5A"/>
    <w:rsid w:val="1ECC1E3C"/>
    <w:rsid w:val="1ED53D9A"/>
    <w:rsid w:val="1ED861FA"/>
    <w:rsid w:val="1EDB2EB0"/>
    <w:rsid w:val="1EDD6FFC"/>
    <w:rsid w:val="1EEB54F0"/>
    <w:rsid w:val="1EED3918"/>
    <w:rsid w:val="1EF5204B"/>
    <w:rsid w:val="1EF91970"/>
    <w:rsid w:val="1F0B13E0"/>
    <w:rsid w:val="1F111D05"/>
    <w:rsid w:val="1F14547E"/>
    <w:rsid w:val="1F1F101A"/>
    <w:rsid w:val="1F2302A1"/>
    <w:rsid w:val="1F3879C6"/>
    <w:rsid w:val="1F400656"/>
    <w:rsid w:val="1F4C4468"/>
    <w:rsid w:val="1F5C052B"/>
    <w:rsid w:val="1F611C06"/>
    <w:rsid w:val="1F657D6D"/>
    <w:rsid w:val="1F6D55FC"/>
    <w:rsid w:val="1F723FA7"/>
    <w:rsid w:val="1F7C71B6"/>
    <w:rsid w:val="1F804FA9"/>
    <w:rsid w:val="1F872FC8"/>
    <w:rsid w:val="1F991D0F"/>
    <w:rsid w:val="1FA75A7B"/>
    <w:rsid w:val="1FAD5993"/>
    <w:rsid w:val="1FB2444B"/>
    <w:rsid w:val="1FB36033"/>
    <w:rsid w:val="1FC31B28"/>
    <w:rsid w:val="1FCD4855"/>
    <w:rsid w:val="1FD55D41"/>
    <w:rsid w:val="1FE836CA"/>
    <w:rsid w:val="1FEA4870"/>
    <w:rsid w:val="1FFB1323"/>
    <w:rsid w:val="200F7A29"/>
    <w:rsid w:val="20112787"/>
    <w:rsid w:val="201176A9"/>
    <w:rsid w:val="201264E0"/>
    <w:rsid w:val="201560AF"/>
    <w:rsid w:val="202253C5"/>
    <w:rsid w:val="20261A2A"/>
    <w:rsid w:val="202E2994"/>
    <w:rsid w:val="2034336D"/>
    <w:rsid w:val="20383044"/>
    <w:rsid w:val="203C06DD"/>
    <w:rsid w:val="205D36CC"/>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C088F"/>
    <w:rsid w:val="20D77715"/>
    <w:rsid w:val="20E8359B"/>
    <w:rsid w:val="20ED5D93"/>
    <w:rsid w:val="20F06128"/>
    <w:rsid w:val="20F7371D"/>
    <w:rsid w:val="20FB092C"/>
    <w:rsid w:val="2100389E"/>
    <w:rsid w:val="21014C39"/>
    <w:rsid w:val="210C2B53"/>
    <w:rsid w:val="21116884"/>
    <w:rsid w:val="211749D8"/>
    <w:rsid w:val="211B070A"/>
    <w:rsid w:val="21225A33"/>
    <w:rsid w:val="21244EB1"/>
    <w:rsid w:val="212F207F"/>
    <w:rsid w:val="213154ED"/>
    <w:rsid w:val="213964D8"/>
    <w:rsid w:val="21590705"/>
    <w:rsid w:val="21595D04"/>
    <w:rsid w:val="216043C0"/>
    <w:rsid w:val="216060D1"/>
    <w:rsid w:val="218E4FF0"/>
    <w:rsid w:val="21900E1F"/>
    <w:rsid w:val="219342A7"/>
    <w:rsid w:val="21AC29DE"/>
    <w:rsid w:val="21AE2BAE"/>
    <w:rsid w:val="21BA2A3F"/>
    <w:rsid w:val="21C02F32"/>
    <w:rsid w:val="21C06B56"/>
    <w:rsid w:val="21C21892"/>
    <w:rsid w:val="21D74EED"/>
    <w:rsid w:val="21DD63A5"/>
    <w:rsid w:val="21E4036A"/>
    <w:rsid w:val="21F13629"/>
    <w:rsid w:val="21FC3606"/>
    <w:rsid w:val="2202535E"/>
    <w:rsid w:val="2208232E"/>
    <w:rsid w:val="220D1A6D"/>
    <w:rsid w:val="220F258C"/>
    <w:rsid w:val="221658E3"/>
    <w:rsid w:val="2217457B"/>
    <w:rsid w:val="222E1FA2"/>
    <w:rsid w:val="223204D3"/>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C1203C"/>
    <w:rsid w:val="22CD6533"/>
    <w:rsid w:val="22D3417A"/>
    <w:rsid w:val="22D446DA"/>
    <w:rsid w:val="22DD23CC"/>
    <w:rsid w:val="22DF6543"/>
    <w:rsid w:val="22E826D5"/>
    <w:rsid w:val="22ED6B5D"/>
    <w:rsid w:val="22F11CE0"/>
    <w:rsid w:val="22F27762"/>
    <w:rsid w:val="22F705CF"/>
    <w:rsid w:val="22F779CA"/>
    <w:rsid w:val="23034FFC"/>
    <w:rsid w:val="2305377E"/>
    <w:rsid w:val="23085188"/>
    <w:rsid w:val="230C0884"/>
    <w:rsid w:val="23140F9B"/>
    <w:rsid w:val="23225D32"/>
    <w:rsid w:val="23233DDE"/>
    <w:rsid w:val="232D7DCE"/>
    <w:rsid w:val="23314593"/>
    <w:rsid w:val="233B2CEF"/>
    <w:rsid w:val="233E36E5"/>
    <w:rsid w:val="233F0132"/>
    <w:rsid w:val="23412115"/>
    <w:rsid w:val="23533210"/>
    <w:rsid w:val="23593C8D"/>
    <w:rsid w:val="235F2314"/>
    <w:rsid w:val="2361109A"/>
    <w:rsid w:val="23640908"/>
    <w:rsid w:val="2366675F"/>
    <w:rsid w:val="23727D1E"/>
    <w:rsid w:val="23741C9C"/>
    <w:rsid w:val="238210A1"/>
    <w:rsid w:val="23841714"/>
    <w:rsid w:val="23901822"/>
    <w:rsid w:val="23A0500A"/>
    <w:rsid w:val="23A35A46"/>
    <w:rsid w:val="23A87B77"/>
    <w:rsid w:val="23AA3139"/>
    <w:rsid w:val="23B50C89"/>
    <w:rsid w:val="23B7280F"/>
    <w:rsid w:val="23B82995"/>
    <w:rsid w:val="23B87BA4"/>
    <w:rsid w:val="23BE5BB1"/>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03A9B"/>
    <w:rsid w:val="245575B9"/>
    <w:rsid w:val="245668CE"/>
    <w:rsid w:val="24674894"/>
    <w:rsid w:val="24716CD9"/>
    <w:rsid w:val="24753161"/>
    <w:rsid w:val="248562CB"/>
    <w:rsid w:val="24870E7D"/>
    <w:rsid w:val="248A7203"/>
    <w:rsid w:val="248F0EC7"/>
    <w:rsid w:val="249A1973"/>
    <w:rsid w:val="249A3081"/>
    <w:rsid w:val="249D7C09"/>
    <w:rsid w:val="24B05176"/>
    <w:rsid w:val="24B75312"/>
    <w:rsid w:val="24C024BF"/>
    <w:rsid w:val="24C20CDB"/>
    <w:rsid w:val="24CB6919"/>
    <w:rsid w:val="24D4257E"/>
    <w:rsid w:val="24E07603"/>
    <w:rsid w:val="24E53D16"/>
    <w:rsid w:val="24E60E96"/>
    <w:rsid w:val="24E64719"/>
    <w:rsid w:val="24E87750"/>
    <w:rsid w:val="24F341DD"/>
    <w:rsid w:val="250039A6"/>
    <w:rsid w:val="250174C1"/>
    <w:rsid w:val="2511326E"/>
    <w:rsid w:val="251903EC"/>
    <w:rsid w:val="2524677D"/>
    <w:rsid w:val="252975B3"/>
    <w:rsid w:val="25345F10"/>
    <w:rsid w:val="25457F06"/>
    <w:rsid w:val="25465A38"/>
    <w:rsid w:val="255E30DE"/>
    <w:rsid w:val="2572202B"/>
    <w:rsid w:val="258E1126"/>
    <w:rsid w:val="2593425B"/>
    <w:rsid w:val="25A1633C"/>
    <w:rsid w:val="25A50377"/>
    <w:rsid w:val="25AF4EDF"/>
    <w:rsid w:val="25B21FCD"/>
    <w:rsid w:val="25B96C70"/>
    <w:rsid w:val="25BA7AF4"/>
    <w:rsid w:val="25BE1664"/>
    <w:rsid w:val="25C057A4"/>
    <w:rsid w:val="25C23B53"/>
    <w:rsid w:val="25CD7645"/>
    <w:rsid w:val="25D71E5D"/>
    <w:rsid w:val="25F1728B"/>
    <w:rsid w:val="25F7715A"/>
    <w:rsid w:val="2605683C"/>
    <w:rsid w:val="260B6A7A"/>
    <w:rsid w:val="262B432C"/>
    <w:rsid w:val="26307BB3"/>
    <w:rsid w:val="26385F45"/>
    <w:rsid w:val="263B5A2D"/>
    <w:rsid w:val="263F23CC"/>
    <w:rsid w:val="26480ADD"/>
    <w:rsid w:val="26603B12"/>
    <w:rsid w:val="267F61D2"/>
    <w:rsid w:val="26841699"/>
    <w:rsid w:val="26891709"/>
    <w:rsid w:val="26892157"/>
    <w:rsid w:val="268B6FC8"/>
    <w:rsid w:val="268C18C8"/>
    <w:rsid w:val="268C2B28"/>
    <w:rsid w:val="268E1EDE"/>
    <w:rsid w:val="26917CE7"/>
    <w:rsid w:val="26940BB8"/>
    <w:rsid w:val="26B5676D"/>
    <w:rsid w:val="26B96F87"/>
    <w:rsid w:val="26BB1419"/>
    <w:rsid w:val="26CE5995"/>
    <w:rsid w:val="26D85415"/>
    <w:rsid w:val="26DE3012"/>
    <w:rsid w:val="26F029A6"/>
    <w:rsid w:val="26F07FF2"/>
    <w:rsid w:val="26FB0C99"/>
    <w:rsid w:val="270B1314"/>
    <w:rsid w:val="270B2D9A"/>
    <w:rsid w:val="27107511"/>
    <w:rsid w:val="273C2FCF"/>
    <w:rsid w:val="273C6E35"/>
    <w:rsid w:val="273E4F70"/>
    <w:rsid w:val="2741059E"/>
    <w:rsid w:val="27461A28"/>
    <w:rsid w:val="274A7DF7"/>
    <w:rsid w:val="276032C4"/>
    <w:rsid w:val="277124DF"/>
    <w:rsid w:val="2781195F"/>
    <w:rsid w:val="278A6DCB"/>
    <w:rsid w:val="278E5420"/>
    <w:rsid w:val="278F4058"/>
    <w:rsid w:val="27982EAB"/>
    <w:rsid w:val="27991704"/>
    <w:rsid w:val="279C2669"/>
    <w:rsid w:val="279D76B2"/>
    <w:rsid w:val="27A14592"/>
    <w:rsid w:val="27A72D07"/>
    <w:rsid w:val="27B26AD3"/>
    <w:rsid w:val="27B748AA"/>
    <w:rsid w:val="27BA2B3F"/>
    <w:rsid w:val="27C67CC3"/>
    <w:rsid w:val="27CB4CB9"/>
    <w:rsid w:val="27CF1700"/>
    <w:rsid w:val="27D508EE"/>
    <w:rsid w:val="27D74A6C"/>
    <w:rsid w:val="27EA3C4C"/>
    <w:rsid w:val="27F5401C"/>
    <w:rsid w:val="27FF320F"/>
    <w:rsid w:val="281C2F58"/>
    <w:rsid w:val="281E56A5"/>
    <w:rsid w:val="28213AAB"/>
    <w:rsid w:val="28225752"/>
    <w:rsid w:val="28236AF4"/>
    <w:rsid w:val="282412E8"/>
    <w:rsid w:val="28267AC9"/>
    <w:rsid w:val="282B4CD3"/>
    <w:rsid w:val="283619B3"/>
    <w:rsid w:val="283622D5"/>
    <w:rsid w:val="285862BF"/>
    <w:rsid w:val="2874236C"/>
    <w:rsid w:val="2881222E"/>
    <w:rsid w:val="28817483"/>
    <w:rsid w:val="288750C4"/>
    <w:rsid w:val="288E50E9"/>
    <w:rsid w:val="289A1B82"/>
    <w:rsid w:val="289A2137"/>
    <w:rsid w:val="289C5AAF"/>
    <w:rsid w:val="28A066CA"/>
    <w:rsid w:val="28A831A8"/>
    <w:rsid w:val="28A9727E"/>
    <w:rsid w:val="28AE124C"/>
    <w:rsid w:val="28BD5FE3"/>
    <w:rsid w:val="28C21ED5"/>
    <w:rsid w:val="28CD1B01"/>
    <w:rsid w:val="28E16F0F"/>
    <w:rsid w:val="28ED0E6B"/>
    <w:rsid w:val="28F803C7"/>
    <w:rsid w:val="28FC52BC"/>
    <w:rsid w:val="28FC6DCD"/>
    <w:rsid w:val="28FD484F"/>
    <w:rsid w:val="28FE6A4D"/>
    <w:rsid w:val="29031665"/>
    <w:rsid w:val="290872A8"/>
    <w:rsid w:val="290F4769"/>
    <w:rsid w:val="29117C6C"/>
    <w:rsid w:val="29140BF0"/>
    <w:rsid w:val="291907AC"/>
    <w:rsid w:val="29241954"/>
    <w:rsid w:val="292570BF"/>
    <w:rsid w:val="293A5427"/>
    <w:rsid w:val="29423CBE"/>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A719C6"/>
    <w:rsid w:val="29B02267"/>
    <w:rsid w:val="29B24645"/>
    <w:rsid w:val="29B42A2D"/>
    <w:rsid w:val="29B6583A"/>
    <w:rsid w:val="29BA796F"/>
    <w:rsid w:val="29CB2E15"/>
    <w:rsid w:val="29CD0532"/>
    <w:rsid w:val="29DF73C0"/>
    <w:rsid w:val="29E15FE8"/>
    <w:rsid w:val="29E93872"/>
    <w:rsid w:val="29FC463C"/>
    <w:rsid w:val="2A021053"/>
    <w:rsid w:val="2A075092"/>
    <w:rsid w:val="2A156225"/>
    <w:rsid w:val="2A2C4D44"/>
    <w:rsid w:val="2A2E6158"/>
    <w:rsid w:val="2A34628C"/>
    <w:rsid w:val="2A372CB5"/>
    <w:rsid w:val="2A382855"/>
    <w:rsid w:val="2A5679E9"/>
    <w:rsid w:val="2A5A0EB5"/>
    <w:rsid w:val="2A621B97"/>
    <w:rsid w:val="2A660B65"/>
    <w:rsid w:val="2A6A7F9D"/>
    <w:rsid w:val="2A724D05"/>
    <w:rsid w:val="2A7E505C"/>
    <w:rsid w:val="2A8F53BC"/>
    <w:rsid w:val="2A8F6D15"/>
    <w:rsid w:val="2A9071E3"/>
    <w:rsid w:val="2A984FF3"/>
    <w:rsid w:val="2A9D2C76"/>
    <w:rsid w:val="2AA8488A"/>
    <w:rsid w:val="2AAB2335"/>
    <w:rsid w:val="2AB71A18"/>
    <w:rsid w:val="2AC77529"/>
    <w:rsid w:val="2AC85686"/>
    <w:rsid w:val="2AD04B5F"/>
    <w:rsid w:val="2AD134D0"/>
    <w:rsid w:val="2AD16814"/>
    <w:rsid w:val="2AD17C4D"/>
    <w:rsid w:val="2AD75410"/>
    <w:rsid w:val="2ADE10CD"/>
    <w:rsid w:val="2B0F5533"/>
    <w:rsid w:val="2B136D58"/>
    <w:rsid w:val="2B37440B"/>
    <w:rsid w:val="2B3D5BF4"/>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F1614"/>
    <w:rsid w:val="2BFE4AAC"/>
    <w:rsid w:val="2C0B5689"/>
    <w:rsid w:val="2C0C3DBC"/>
    <w:rsid w:val="2C112837"/>
    <w:rsid w:val="2C1A16F9"/>
    <w:rsid w:val="2C2A6F85"/>
    <w:rsid w:val="2C2C358E"/>
    <w:rsid w:val="2C2D4686"/>
    <w:rsid w:val="2C2E197F"/>
    <w:rsid w:val="2C344011"/>
    <w:rsid w:val="2C466AA1"/>
    <w:rsid w:val="2C4677AE"/>
    <w:rsid w:val="2C557E09"/>
    <w:rsid w:val="2C566767"/>
    <w:rsid w:val="2C5D1885"/>
    <w:rsid w:val="2C6A7D48"/>
    <w:rsid w:val="2C6D0F75"/>
    <w:rsid w:val="2C7A0008"/>
    <w:rsid w:val="2C7E6A0F"/>
    <w:rsid w:val="2C8139BA"/>
    <w:rsid w:val="2C910453"/>
    <w:rsid w:val="2C974249"/>
    <w:rsid w:val="2C9B1252"/>
    <w:rsid w:val="2C9C2786"/>
    <w:rsid w:val="2C9E7C7C"/>
    <w:rsid w:val="2CA2349F"/>
    <w:rsid w:val="2CB40C39"/>
    <w:rsid w:val="2CB7002B"/>
    <w:rsid w:val="2CC13667"/>
    <w:rsid w:val="2CD418C9"/>
    <w:rsid w:val="2CD86DED"/>
    <w:rsid w:val="2CDA6BBA"/>
    <w:rsid w:val="2CE45BD0"/>
    <w:rsid w:val="2CEE6CC2"/>
    <w:rsid w:val="2D1026FA"/>
    <w:rsid w:val="2D1E5293"/>
    <w:rsid w:val="2D276581"/>
    <w:rsid w:val="2D3153EA"/>
    <w:rsid w:val="2D337631"/>
    <w:rsid w:val="2D3C627C"/>
    <w:rsid w:val="2D40460F"/>
    <w:rsid w:val="2D4E0464"/>
    <w:rsid w:val="2D541EEA"/>
    <w:rsid w:val="2D631447"/>
    <w:rsid w:val="2D6A7911"/>
    <w:rsid w:val="2D814BB2"/>
    <w:rsid w:val="2D815E39"/>
    <w:rsid w:val="2D8E0DCA"/>
    <w:rsid w:val="2D964DE9"/>
    <w:rsid w:val="2D965677"/>
    <w:rsid w:val="2D9F6AE6"/>
    <w:rsid w:val="2DAA06FA"/>
    <w:rsid w:val="2DB23588"/>
    <w:rsid w:val="2DB60D14"/>
    <w:rsid w:val="2DB85492"/>
    <w:rsid w:val="2DC615EA"/>
    <w:rsid w:val="2DD05F26"/>
    <w:rsid w:val="2DDB0EC9"/>
    <w:rsid w:val="2DE06617"/>
    <w:rsid w:val="2DE51F61"/>
    <w:rsid w:val="2DE64CDC"/>
    <w:rsid w:val="2DF2692F"/>
    <w:rsid w:val="2DFA4E9E"/>
    <w:rsid w:val="2E01302A"/>
    <w:rsid w:val="2E014790"/>
    <w:rsid w:val="2E08402D"/>
    <w:rsid w:val="2E093F97"/>
    <w:rsid w:val="2E0D6915"/>
    <w:rsid w:val="2E1021FF"/>
    <w:rsid w:val="2E1F613B"/>
    <w:rsid w:val="2E200339"/>
    <w:rsid w:val="2E204634"/>
    <w:rsid w:val="2E3A3A6A"/>
    <w:rsid w:val="2E3C46CC"/>
    <w:rsid w:val="2E496E6E"/>
    <w:rsid w:val="2E4C7F04"/>
    <w:rsid w:val="2E506CC6"/>
    <w:rsid w:val="2E5C4A5C"/>
    <w:rsid w:val="2E601123"/>
    <w:rsid w:val="2E6336F3"/>
    <w:rsid w:val="2E6A7558"/>
    <w:rsid w:val="2E751753"/>
    <w:rsid w:val="2E8E096D"/>
    <w:rsid w:val="2E930E04"/>
    <w:rsid w:val="2E960D92"/>
    <w:rsid w:val="2EAD693A"/>
    <w:rsid w:val="2EAE1413"/>
    <w:rsid w:val="2EAE1DA5"/>
    <w:rsid w:val="2EAF79E1"/>
    <w:rsid w:val="2EB17C28"/>
    <w:rsid w:val="2EB30BAD"/>
    <w:rsid w:val="2EBA0FB6"/>
    <w:rsid w:val="2EC34E1C"/>
    <w:rsid w:val="2EC47B37"/>
    <w:rsid w:val="2ED96DC0"/>
    <w:rsid w:val="2EDB4761"/>
    <w:rsid w:val="2EE20F0A"/>
    <w:rsid w:val="2EE72300"/>
    <w:rsid w:val="2EE77680"/>
    <w:rsid w:val="2EE85384"/>
    <w:rsid w:val="2EF00A12"/>
    <w:rsid w:val="2EF05832"/>
    <w:rsid w:val="2EF850E2"/>
    <w:rsid w:val="2F0261AD"/>
    <w:rsid w:val="2F0625C2"/>
    <w:rsid w:val="2F0F0E76"/>
    <w:rsid w:val="2F162C7E"/>
    <w:rsid w:val="2F1A26EE"/>
    <w:rsid w:val="2F1C5ED1"/>
    <w:rsid w:val="2F26400E"/>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892CAE"/>
    <w:rsid w:val="2FA70460"/>
    <w:rsid w:val="2FB546EB"/>
    <w:rsid w:val="2FB616D4"/>
    <w:rsid w:val="2FB674D6"/>
    <w:rsid w:val="2FB70619"/>
    <w:rsid w:val="2FBF7DE5"/>
    <w:rsid w:val="2FCE00FB"/>
    <w:rsid w:val="2FCF47FC"/>
    <w:rsid w:val="2FD64F9B"/>
    <w:rsid w:val="2FF16036"/>
    <w:rsid w:val="2FFE78CA"/>
    <w:rsid w:val="3008338E"/>
    <w:rsid w:val="30083A5D"/>
    <w:rsid w:val="3008740D"/>
    <w:rsid w:val="300F02EC"/>
    <w:rsid w:val="30126F25"/>
    <w:rsid w:val="30195EF5"/>
    <w:rsid w:val="301C6BB6"/>
    <w:rsid w:val="302951F8"/>
    <w:rsid w:val="30386AE6"/>
    <w:rsid w:val="3039422C"/>
    <w:rsid w:val="304F5D99"/>
    <w:rsid w:val="305016E5"/>
    <w:rsid w:val="305118D2"/>
    <w:rsid w:val="30614AA9"/>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B201E"/>
    <w:rsid w:val="310C014A"/>
    <w:rsid w:val="31116338"/>
    <w:rsid w:val="311D3DF9"/>
    <w:rsid w:val="31216728"/>
    <w:rsid w:val="312A28E8"/>
    <w:rsid w:val="31393632"/>
    <w:rsid w:val="313D0377"/>
    <w:rsid w:val="31443807"/>
    <w:rsid w:val="31630496"/>
    <w:rsid w:val="316D3DD0"/>
    <w:rsid w:val="316D5522"/>
    <w:rsid w:val="3176289F"/>
    <w:rsid w:val="319708F2"/>
    <w:rsid w:val="319747C2"/>
    <w:rsid w:val="3199182A"/>
    <w:rsid w:val="319C45A7"/>
    <w:rsid w:val="319C6071"/>
    <w:rsid w:val="31A21783"/>
    <w:rsid w:val="31A2530D"/>
    <w:rsid w:val="31A8260E"/>
    <w:rsid w:val="31AB78A1"/>
    <w:rsid w:val="31B14C9E"/>
    <w:rsid w:val="31B97BA0"/>
    <w:rsid w:val="31BC1BBB"/>
    <w:rsid w:val="31BE782D"/>
    <w:rsid w:val="31BF1AA9"/>
    <w:rsid w:val="31C34591"/>
    <w:rsid w:val="31CF7002"/>
    <w:rsid w:val="31D81BDF"/>
    <w:rsid w:val="31D95ED6"/>
    <w:rsid w:val="31DD5420"/>
    <w:rsid w:val="31E7783E"/>
    <w:rsid w:val="31EB554E"/>
    <w:rsid w:val="31EB75D7"/>
    <w:rsid w:val="31F17A6E"/>
    <w:rsid w:val="31F30C92"/>
    <w:rsid w:val="31F37958"/>
    <w:rsid w:val="31F7164A"/>
    <w:rsid w:val="31F80989"/>
    <w:rsid w:val="32103298"/>
    <w:rsid w:val="32184101"/>
    <w:rsid w:val="322E6825"/>
    <w:rsid w:val="323068E5"/>
    <w:rsid w:val="32314D0B"/>
    <w:rsid w:val="32421687"/>
    <w:rsid w:val="32431073"/>
    <w:rsid w:val="325E18AE"/>
    <w:rsid w:val="32692A60"/>
    <w:rsid w:val="327A39E4"/>
    <w:rsid w:val="327B56DF"/>
    <w:rsid w:val="327C0420"/>
    <w:rsid w:val="32940321"/>
    <w:rsid w:val="32987176"/>
    <w:rsid w:val="32990513"/>
    <w:rsid w:val="32AD1732"/>
    <w:rsid w:val="32AE46BE"/>
    <w:rsid w:val="32B86261"/>
    <w:rsid w:val="32C04CBB"/>
    <w:rsid w:val="32C11B02"/>
    <w:rsid w:val="32C8574C"/>
    <w:rsid w:val="32D257FE"/>
    <w:rsid w:val="32D41327"/>
    <w:rsid w:val="32DD556E"/>
    <w:rsid w:val="32E72810"/>
    <w:rsid w:val="3306508F"/>
    <w:rsid w:val="332B149D"/>
    <w:rsid w:val="33314601"/>
    <w:rsid w:val="3332427C"/>
    <w:rsid w:val="333E7D22"/>
    <w:rsid w:val="3340583D"/>
    <w:rsid w:val="335E31CF"/>
    <w:rsid w:val="338A6577"/>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3637B7"/>
    <w:rsid w:val="34485E43"/>
    <w:rsid w:val="344C156B"/>
    <w:rsid w:val="344C5C41"/>
    <w:rsid w:val="34585E2A"/>
    <w:rsid w:val="345F028E"/>
    <w:rsid w:val="34653713"/>
    <w:rsid w:val="34682DFF"/>
    <w:rsid w:val="346C7B0F"/>
    <w:rsid w:val="34781CA2"/>
    <w:rsid w:val="34807672"/>
    <w:rsid w:val="34814B30"/>
    <w:rsid w:val="3488080A"/>
    <w:rsid w:val="348908FF"/>
    <w:rsid w:val="34890E71"/>
    <w:rsid w:val="348A543F"/>
    <w:rsid w:val="348B1831"/>
    <w:rsid w:val="349A7C58"/>
    <w:rsid w:val="349C065E"/>
    <w:rsid w:val="34A12C32"/>
    <w:rsid w:val="34B21923"/>
    <w:rsid w:val="34C25528"/>
    <w:rsid w:val="34CE4C2F"/>
    <w:rsid w:val="34D15BB4"/>
    <w:rsid w:val="34D41F3D"/>
    <w:rsid w:val="34D94F76"/>
    <w:rsid w:val="34EC149C"/>
    <w:rsid w:val="34F547A7"/>
    <w:rsid w:val="350B4A94"/>
    <w:rsid w:val="350D65F0"/>
    <w:rsid w:val="3511441F"/>
    <w:rsid w:val="352E1016"/>
    <w:rsid w:val="35301450"/>
    <w:rsid w:val="35492330"/>
    <w:rsid w:val="355931F7"/>
    <w:rsid w:val="35644315"/>
    <w:rsid w:val="35646427"/>
    <w:rsid w:val="35712D5D"/>
    <w:rsid w:val="357850C8"/>
    <w:rsid w:val="35853CE3"/>
    <w:rsid w:val="35867971"/>
    <w:rsid w:val="358D0FD7"/>
    <w:rsid w:val="359D4003"/>
    <w:rsid w:val="35B06C6A"/>
    <w:rsid w:val="35B66242"/>
    <w:rsid w:val="35C06303"/>
    <w:rsid w:val="35C54989"/>
    <w:rsid w:val="35C73209"/>
    <w:rsid w:val="35CE0055"/>
    <w:rsid w:val="35D05A62"/>
    <w:rsid w:val="35D15757"/>
    <w:rsid w:val="35EE4FC9"/>
    <w:rsid w:val="35F76384"/>
    <w:rsid w:val="3602087F"/>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23616"/>
    <w:rsid w:val="36941AA2"/>
    <w:rsid w:val="36962695"/>
    <w:rsid w:val="36B21D17"/>
    <w:rsid w:val="36B85C99"/>
    <w:rsid w:val="36D37423"/>
    <w:rsid w:val="36D76676"/>
    <w:rsid w:val="36E04565"/>
    <w:rsid w:val="36EA3CA5"/>
    <w:rsid w:val="36EA5250"/>
    <w:rsid w:val="36ED4EA7"/>
    <w:rsid w:val="36F16EB3"/>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E0036"/>
    <w:rsid w:val="379D23F9"/>
    <w:rsid w:val="37A00595"/>
    <w:rsid w:val="37A911C6"/>
    <w:rsid w:val="37BB1F70"/>
    <w:rsid w:val="37C95891"/>
    <w:rsid w:val="37CB4618"/>
    <w:rsid w:val="37E5630E"/>
    <w:rsid w:val="37EC3BB8"/>
    <w:rsid w:val="37F930DD"/>
    <w:rsid w:val="381D4A5A"/>
    <w:rsid w:val="383C5674"/>
    <w:rsid w:val="383C5BD0"/>
    <w:rsid w:val="384449DD"/>
    <w:rsid w:val="384F232D"/>
    <w:rsid w:val="385122F2"/>
    <w:rsid w:val="38526B5E"/>
    <w:rsid w:val="385876FF"/>
    <w:rsid w:val="385E6666"/>
    <w:rsid w:val="38704D62"/>
    <w:rsid w:val="3874396E"/>
    <w:rsid w:val="38750761"/>
    <w:rsid w:val="388614C8"/>
    <w:rsid w:val="388732E0"/>
    <w:rsid w:val="388E28CE"/>
    <w:rsid w:val="38A80783"/>
    <w:rsid w:val="38B17BBF"/>
    <w:rsid w:val="38C522B1"/>
    <w:rsid w:val="38C8340A"/>
    <w:rsid w:val="38CE1966"/>
    <w:rsid w:val="38E66069"/>
    <w:rsid w:val="38EC25D9"/>
    <w:rsid w:val="38F378FD"/>
    <w:rsid w:val="38F75D24"/>
    <w:rsid w:val="39041477"/>
    <w:rsid w:val="3905523C"/>
    <w:rsid w:val="39153335"/>
    <w:rsid w:val="391B3B8E"/>
    <w:rsid w:val="391D02CF"/>
    <w:rsid w:val="391D7897"/>
    <w:rsid w:val="39273DCB"/>
    <w:rsid w:val="39370C74"/>
    <w:rsid w:val="39377542"/>
    <w:rsid w:val="39392E17"/>
    <w:rsid w:val="393D7317"/>
    <w:rsid w:val="39413509"/>
    <w:rsid w:val="39511366"/>
    <w:rsid w:val="395363B2"/>
    <w:rsid w:val="396C3D44"/>
    <w:rsid w:val="396C5791"/>
    <w:rsid w:val="397101CC"/>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B3978"/>
    <w:rsid w:val="3A2F3889"/>
    <w:rsid w:val="3A2F5E57"/>
    <w:rsid w:val="3A324A7B"/>
    <w:rsid w:val="3A362F18"/>
    <w:rsid w:val="3A476F2A"/>
    <w:rsid w:val="3A640F7C"/>
    <w:rsid w:val="3A692CD0"/>
    <w:rsid w:val="3A706310"/>
    <w:rsid w:val="3A7E0932"/>
    <w:rsid w:val="3A7F53CD"/>
    <w:rsid w:val="3A871F12"/>
    <w:rsid w:val="3A9A0F33"/>
    <w:rsid w:val="3A9A6056"/>
    <w:rsid w:val="3AA6202F"/>
    <w:rsid w:val="3AAE4AA7"/>
    <w:rsid w:val="3AB16085"/>
    <w:rsid w:val="3AB33379"/>
    <w:rsid w:val="3ACF6793"/>
    <w:rsid w:val="3AD35D23"/>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10447"/>
    <w:rsid w:val="3B44206B"/>
    <w:rsid w:val="3B4B54D3"/>
    <w:rsid w:val="3B5F2062"/>
    <w:rsid w:val="3B673620"/>
    <w:rsid w:val="3B675718"/>
    <w:rsid w:val="3B700612"/>
    <w:rsid w:val="3B755220"/>
    <w:rsid w:val="3B885B67"/>
    <w:rsid w:val="3B8B3ED9"/>
    <w:rsid w:val="3B941F57"/>
    <w:rsid w:val="3B980E56"/>
    <w:rsid w:val="3B9A0AD5"/>
    <w:rsid w:val="3B9A1F29"/>
    <w:rsid w:val="3B9B3FEF"/>
    <w:rsid w:val="3B9C0EAC"/>
    <w:rsid w:val="3BA23963"/>
    <w:rsid w:val="3BA331AE"/>
    <w:rsid w:val="3BA94728"/>
    <w:rsid w:val="3BB02C79"/>
    <w:rsid w:val="3BB7141A"/>
    <w:rsid w:val="3BBD05A5"/>
    <w:rsid w:val="3BBD6FDA"/>
    <w:rsid w:val="3BC05B96"/>
    <w:rsid w:val="3BC26AB2"/>
    <w:rsid w:val="3BCB73E9"/>
    <w:rsid w:val="3BF6321E"/>
    <w:rsid w:val="3BFA1A3E"/>
    <w:rsid w:val="3C0A7E90"/>
    <w:rsid w:val="3C0B53D0"/>
    <w:rsid w:val="3C0C09F7"/>
    <w:rsid w:val="3C0E4317"/>
    <w:rsid w:val="3C1A1957"/>
    <w:rsid w:val="3C1C040E"/>
    <w:rsid w:val="3C1D10AF"/>
    <w:rsid w:val="3C1E1159"/>
    <w:rsid w:val="3C2A4B41"/>
    <w:rsid w:val="3C2D1349"/>
    <w:rsid w:val="3C317D4F"/>
    <w:rsid w:val="3C373BE3"/>
    <w:rsid w:val="3C4810DA"/>
    <w:rsid w:val="3C4D7ECE"/>
    <w:rsid w:val="3C593492"/>
    <w:rsid w:val="3C5B366D"/>
    <w:rsid w:val="3C6014F8"/>
    <w:rsid w:val="3C6C0684"/>
    <w:rsid w:val="3C6D68AF"/>
    <w:rsid w:val="3C6E311D"/>
    <w:rsid w:val="3C710B39"/>
    <w:rsid w:val="3C747961"/>
    <w:rsid w:val="3C761845"/>
    <w:rsid w:val="3C8368C4"/>
    <w:rsid w:val="3C8F78F1"/>
    <w:rsid w:val="3C93773A"/>
    <w:rsid w:val="3CA8139B"/>
    <w:rsid w:val="3CAC21A2"/>
    <w:rsid w:val="3CBE5363"/>
    <w:rsid w:val="3CC7590A"/>
    <w:rsid w:val="3CD63010"/>
    <w:rsid w:val="3CE4646B"/>
    <w:rsid w:val="3CEE0E79"/>
    <w:rsid w:val="3CFC1228"/>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C65BE7"/>
    <w:rsid w:val="3DE6611C"/>
    <w:rsid w:val="3DF52A92"/>
    <w:rsid w:val="3DF535E5"/>
    <w:rsid w:val="3DF56736"/>
    <w:rsid w:val="3DFC4E7F"/>
    <w:rsid w:val="3E027D33"/>
    <w:rsid w:val="3E095155"/>
    <w:rsid w:val="3E0C543F"/>
    <w:rsid w:val="3E142C5B"/>
    <w:rsid w:val="3E2B1695"/>
    <w:rsid w:val="3E342570"/>
    <w:rsid w:val="3E3826A3"/>
    <w:rsid w:val="3E386E20"/>
    <w:rsid w:val="3E392BDF"/>
    <w:rsid w:val="3E4343A8"/>
    <w:rsid w:val="3E49481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BB1744"/>
    <w:rsid w:val="3EBB2C7C"/>
    <w:rsid w:val="3EBB73F9"/>
    <w:rsid w:val="3EBF1682"/>
    <w:rsid w:val="3EBF533B"/>
    <w:rsid w:val="3EC164B6"/>
    <w:rsid w:val="3EC538B8"/>
    <w:rsid w:val="3EC57D08"/>
    <w:rsid w:val="3ECD719A"/>
    <w:rsid w:val="3EDC644D"/>
    <w:rsid w:val="3EDD2B69"/>
    <w:rsid w:val="3EFA3D9C"/>
    <w:rsid w:val="3EFF0DE7"/>
    <w:rsid w:val="3F027924"/>
    <w:rsid w:val="3F2D4256"/>
    <w:rsid w:val="3F4A7535"/>
    <w:rsid w:val="3F4F0B07"/>
    <w:rsid w:val="3F543CB9"/>
    <w:rsid w:val="3F5F64EF"/>
    <w:rsid w:val="3F63690D"/>
    <w:rsid w:val="3F682D95"/>
    <w:rsid w:val="3F6F01A1"/>
    <w:rsid w:val="3F700066"/>
    <w:rsid w:val="3F7529EA"/>
    <w:rsid w:val="3F7847C4"/>
    <w:rsid w:val="3FC27ABE"/>
    <w:rsid w:val="3FC452BC"/>
    <w:rsid w:val="3FCB4ACB"/>
    <w:rsid w:val="3FDD7BEF"/>
    <w:rsid w:val="3FEB336E"/>
    <w:rsid w:val="3FEC0DF0"/>
    <w:rsid w:val="3FF077F6"/>
    <w:rsid w:val="3FF45D74"/>
    <w:rsid w:val="3FFD3288"/>
    <w:rsid w:val="40047AC2"/>
    <w:rsid w:val="40093CF1"/>
    <w:rsid w:val="401C75FF"/>
    <w:rsid w:val="40224BA3"/>
    <w:rsid w:val="403E1AF3"/>
    <w:rsid w:val="40407146"/>
    <w:rsid w:val="405F175E"/>
    <w:rsid w:val="40662CB8"/>
    <w:rsid w:val="40693250"/>
    <w:rsid w:val="406E1A63"/>
    <w:rsid w:val="406E32F1"/>
    <w:rsid w:val="406F22C2"/>
    <w:rsid w:val="40772F52"/>
    <w:rsid w:val="407B0CD6"/>
    <w:rsid w:val="40813F04"/>
    <w:rsid w:val="4087122F"/>
    <w:rsid w:val="4092099C"/>
    <w:rsid w:val="409558F0"/>
    <w:rsid w:val="40977F45"/>
    <w:rsid w:val="40981959"/>
    <w:rsid w:val="409D5390"/>
    <w:rsid w:val="40A44D1B"/>
    <w:rsid w:val="40B65BAB"/>
    <w:rsid w:val="40B76032"/>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374193"/>
    <w:rsid w:val="41425B1E"/>
    <w:rsid w:val="4147024C"/>
    <w:rsid w:val="415625C0"/>
    <w:rsid w:val="415A7D5F"/>
    <w:rsid w:val="415E18FE"/>
    <w:rsid w:val="416C4764"/>
    <w:rsid w:val="417377F4"/>
    <w:rsid w:val="41783EA3"/>
    <w:rsid w:val="418E271A"/>
    <w:rsid w:val="419A5181"/>
    <w:rsid w:val="419D50B7"/>
    <w:rsid w:val="41AC5B0E"/>
    <w:rsid w:val="41AD23E1"/>
    <w:rsid w:val="41B144B2"/>
    <w:rsid w:val="41B7389A"/>
    <w:rsid w:val="41C62468"/>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325B2"/>
    <w:rsid w:val="424D38D5"/>
    <w:rsid w:val="425637AE"/>
    <w:rsid w:val="42593D77"/>
    <w:rsid w:val="425A4AF9"/>
    <w:rsid w:val="425D1AEE"/>
    <w:rsid w:val="42621DDF"/>
    <w:rsid w:val="426A6C05"/>
    <w:rsid w:val="4277089F"/>
    <w:rsid w:val="427D2CF7"/>
    <w:rsid w:val="427F111D"/>
    <w:rsid w:val="4280606B"/>
    <w:rsid w:val="42853347"/>
    <w:rsid w:val="42854E3C"/>
    <w:rsid w:val="42895E35"/>
    <w:rsid w:val="428C263D"/>
    <w:rsid w:val="428D4272"/>
    <w:rsid w:val="428F7D3E"/>
    <w:rsid w:val="42901365"/>
    <w:rsid w:val="42A922C2"/>
    <w:rsid w:val="42D40833"/>
    <w:rsid w:val="42D504B3"/>
    <w:rsid w:val="42EE2C85"/>
    <w:rsid w:val="42F609E7"/>
    <w:rsid w:val="42F869D2"/>
    <w:rsid w:val="42FC10CD"/>
    <w:rsid w:val="42FF2A6F"/>
    <w:rsid w:val="430147FA"/>
    <w:rsid w:val="430E1911"/>
    <w:rsid w:val="43106727"/>
    <w:rsid w:val="43131F93"/>
    <w:rsid w:val="43140B14"/>
    <w:rsid w:val="43236FE4"/>
    <w:rsid w:val="432C0EC1"/>
    <w:rsid w:val="43464B77"/>
    <w:rsid w:val="43520E20"/>
    <w:rsid w:val="43553536"/>
    <w:rsid w:val="43577787"/>
    <w:rsid w:val="435840A6"/>
    <w:rsid w:val="435A070C"/>
    <w:rsid w:val="435A4ABE"/>
    <w:rsid w:val="435D1690"/>
    <w:rsid w:val="4364101B"/>
    <w:rsid w:val="437E1DA4"/>
    <w:rsid w:val="438012B5"/>
    <w:rsid w:val="43864E1C"/>
    <w:rsid w:val="438E5463"/>
    <w:rsid w:val="43A32912"/>
    <w:rsid w:val="43A91D93"/>
    <w:rsid w:val="43A91E28"/>
    <w:rsid w:val="43BE423F"/>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3989"/>
    <w:rsid w:val="445441A7"/>
    <w:rsid w:val="44551C28"/>
    <w:rsid w:val="4455528C"/>
    <w:rsid w:val="44577945"/>
    <w:rsid w:val="447553AE"/>
    <w:rsid w:val="447C0277"/>
    <w:rsid w:val="44846A1E"/>
    <w:rsid w:val="44893BAC"/>
    <w:rsid w:val="448B2102"/>
    <w:rsid w:val="448C3949"/>
    <w:rsid w:val="44972678"/>
    <w:rsid w:val="44AB33D8"/>
    <w:rsid w:val="44AB3C3E"/>
    <w:rsid w:val="44AF2870"/>
    <w:rsid w:val="44B66543"/>
    <w:rsid w:val="44BB1E83"/>
    <w:rsid w:val="44C742DB"/>
    <w:rsid w:val="44C766E4"/>
    <w:rsid w:val="44C91BE7"/>
    <w:rsid w:val="44CE18F2"/>
    <w:rsid w:val="44D341BE"/>
    <w:rsid w:val="44ED393A"/>
    <w:rsid w:val="44ED6924"/>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932E9"/>
    <w:rsid w:val="459A2ECC"/>
    <w:rsid w:val="459B47D9"/>
    <w:rsid w:val="459C5503"/>
    <w:rsid w:val="45AB5E50"/>
    <w:rsid w:val="45B40F92"/>
    <w:rsid w:val="45CB65BE"/>
    <w:rsid w:val="45CC270F"/>
    <w:rsid w:val="45DD622C"/>
    <w:rsid w:val="45E051CA"/>
    <w:rsid w:val="45E723BF"/>
    <w:rsid w:val="45EA0EAB"/>
    <w:rsid w:val="45EE3F48"/>
    <w:rsid w:val="45F10750"/>
    <w:rsid w:val="45F45E51"/>
    <w:rsid w:val="45F5452A"/>
    <w:rsid w:val="45F60A50"/>
    <w:rsid w:val="45FF6B20"/>
    <w:rsid w:val="46053B6D"/>
    <w:rsid w:val="460F6C8C"/>
    <w:rsid w:val="46125243"/>
    <w:rsid w:val="46142D0C"/>
    <w:rsid w:val="46162231"/>
    <w:rsid w:val="461C0503"/>
    <w:rsid w:val="461E6C96"/>
    <w:rsid w:val="46254E3E"/>
    <w:rsid w:val="46263A53"/>
    <w:rsid w:val="46276E36"/>
    <w:rsid w:val="462875A5"/>
    <w:rsid w:val="462A540F"/>
    <w:rsid w:val="462E6F30"/>
    <w:rsid w:val="46304725"/>
    <w:rsid w:val="464175A3"/>
    <w:rsid w:val="46492FB1"/>
    <w:rsid w:val="464C630B"/>
    <w:rsid w:val="465348A0"/>
    <w:rsid w:val="46546E25"/>
    <w:rsid w:val="465700F4"/>
    <w:rsid w:val="46596E7B"/>
    <w:rsid w:val="46666274"/>
    <w:rsid w:val="46793FD6"/>
    <w:rsid w:val="46811FCB"/>
    <w:rsid w:val="46843A8F"/>
    <w:rsid w:val="46916FD5"/>
    <w:rsid w:val="46970A81"/>
    <w:rsid w:val="469E62EA"/>
    <w:rsid w:val="46A87AD8"/>
    <w:rsid w:val="46AF31A6"/>
    <w:rsid w:val="46B036BF"/>
    <w:rsid w:val="46BA0169"/>
    <w:rsid w:val="46C816AD"/>
    <w:rsid w:val="46CA4BB0"/>
    <w:rsid w:val="46CC320F"/>
    <w:rsid w:val="46EB0A27"/>
    <w:rsid w:val="46ED0489"/>
    <w:rsid w:val="46F4698D"/>
    <w:rsid w:val="46F633A5"/>
    <w:rsid w:val="46F82F9D"/>
    <w:rsid w:val="46F8576C"/>
    <w:rsid w:val="47073529"/>
    <w:rsid w:val="47282363"/>
    <w:rsid w:val="4730365B"/>
    <w:rsid w:val="47315859"/>
    <w:rsid w:val="47354E9D"/>
    <w:rsid w:val="474918D0"/>
    <w:rsid w:val="474A4E57"/>
    <w:rsid w:val="47577E9B"/>
    <w:rsid w:val="47580F9C"/>
    <w:rsid w:val="47590C4D"/>
    <w:rsid w:val="476110F1"/>
    <w:rsid w:val="47724D80"/>
    <w:rsid w:val="477742C6"/>
    <w:rsid w:val="47810C98"/>
    <w:rsid w:val="4784597B"/>
    <w:rsid w:val="47862D65"/>
    <w:rsid w:val="47873A30"/>
    <w:rsid w:val="478878EC"/>
    <w:rsid w:val="478F13E2"/>
    <w:rsid w:val="47907C4F"/>
    <w:rsid w:val="47924F0A"/>
    <w:rsid w:val="479362DE"/>
    <w:rsid w:val="479D22A7"/>
    <w:rsid w:val="47A11F0E"/>
    <w:rsid w:val="47A32315"/>
    <w:rsid w:val="47A435BA"/>
    <w:rsid w:val="47A710B5"/>
    <w:rsid w:val="47A8679C"/>
    <w:rsid w:val="47D63DE9"/>
    <w:rsid w:val="47D82119"/>
    <w:rsid w:val="47DB79F3"/>
    <w:rsid w:val="47DF46F8"/>
    <w:rsid w:val="47EA6278"/>
    <w:rsid w:val="47EB5D77"/>
    <w:rsid w:val="47EB6534"/>
    <w:rsid w:val="47F109F0"/>
    <w:rsid w:val="47F545B2"/>
    <w:rsid w:val="47FD24CE"/>
    <w:rsid w:val="47FE4FAD"/>
    <w:rsid w:val="480571D7"/>
    <w:rsid w:val="480E54FB"/>
    <w:rsid w:val="483C5B77"/>
    <w:rsid w:val="4843441C"/>
    <w:rsid w:val="48474A35"/>
    <w:rsid w:val="484D05AF"/>
    <w:rsid w:val="485109B8"/>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DF49ED"/>
    <w:rsid w:val="48E87129"/>
    <w:rsid w:val="48F407FD"/>
    <w:rsid w:val="49017376"/>
    <w:rsid w:val="490F7AD2"/>
    <w:rsid w:val="4921106B"/>
    <w:rsid w:val="492F5C5D"/>
    <w:rsid w:val="49302DA0"/>
    <w:rsid w:val="494001B9"/>
    <w:rsid w:val="495A6802"/>
    <w:rsid w:val="495C4DFE"/>
    <w:rsid w:val="495F006C"/>
    <w:rsid w:val="49603601"/>
    <w:rsid w:val="4964688E"/>
    <w:rsid w:val="496838F6"/>
    <w:rsid w:val="49794AF8"/>
    <w:rsid w:val="49865D2D"/>
    <w:rsid w:val="4988711F"/>
    <w:rsid w:val="498A4734"/>
    <w:rsid w:val="498E313A"/>
    <w:rsid w:val="49965FC8"/>
    <w:rsid w:val="49A94FE8"/>
    <w:rsid w:val="49AB0901"/>
    <w:rsid w:val="49BA2D04"/>
    <w:rsid w:val="49CF1CC0"/>
    <w:rsid w:val="49CF397D"/>
    <w:rsid w:val="49D2118A"/>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60F83"/>
    <w:rsid w:val="4A7965BA"/>
    <w:rsid w:val="4A83695D"/>
    <w:rsid w:val="4A8F5DF4"/>
    <w:rsid w:val="4A985C76"/>
    <w:rsid w:val="4A9C5875"/>
    <w:rsid w:val="4AB61CA3"/>
    <w:rsid w:val="4AC05DF2"/>
    <w:rsid w:val="4AC7118A"/>
    <w:rsid w:val="4ADD46D9"/>
    <w:rsid w:val="4AE37AB9"/>
    <w:rsid w:val="4AEB77F6"/>
    <w:rsid w:val="4AEC108F"/>
    <w:rsid w:val="4AF30DD3"/>
    <w:rsid w:val="4AF41787"/>
    <w:rsid w:val="4B0C697F"/>
    <w:rsid w:val="4B1447FF"/>
    <w:rsid w:val="4B2E3920"/>
    <w:rsid w:val="4B330243"/>
    <w:rsid w:val="4B487C3B"/>
    <w:rsid w:val="4B492FDD"/>
    <w:rsid w:val="4B562725"/>
    <w:rsid w:val="4B586658"/>
    <w:rsid w:val="4B5E55E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BF1BBC"/>
    <w:rsid w:val="4BC81760"/>
    <w:rsid w:val="4BCE75EA"/>
    <w:rsid w:val="4BD71998"/>
    <w:rsid w:val="4BD913EE"/>
    <w:rsid w:val="4BDF3EC5"/>
    <w:rsid w:val="4BE7762B"/>
    <w:rsid w:val="4BEC52E2"/>
    <w:rsid w:val="4BEE5222"/>
    <w:rsid w:val="4BF02011"/>
    <w:rsid w:val="4BF1671B"/>
    <w:rsid w:val="4BF663E2"/>
    <w:rsid w:val="4BFA3233"/>
    <w:rsid w:val="4C01567F"/>
    <w:rsid w:val="4C1304FF"/>
    <w:rsid w:val="4C156449"/>
    <w:rsid w:val="4C1B7C71"/>
    <w:rsid w:val="4C1C63D6"/>
    <w:rsid w:val="4C220B74"/>
    <w:rsid w:val="4C2948CF"/>
    <w:rsid w:val="4C2D52ED"/>
    <w:rsid w:val="4C2E0139"/>
    <w:rsid w:val="4C374666"/>
    <w:rsid w:val="4C426EAB"/>
    <w:rsid w:val="4C4334E7"/>
    <w:rsid w:val="4C51463C"/>
    <w:rsid w:val="4C5F40D3"/>
    <w:rsid w:val="4C6D7CEF"/>
    <w:rsid w:val="4C6F76E5"/>
    <w:rsid w:val="4C7B569E"/>
    <w:rsid w:val="4C8637A6"/>
    <w:rsid w:val="4C864A35"/>
    <w:rsid w:val="4C8720EE"/>
    <w:rsid w:val="4C945680"/>
    <w:rsid w:val="4C9778D3"/>
    <w:rsid w:val="4C9C3B87"/>
    <w:rsid w:val="4C9E5AA1"/>
    <w:rsid w:val="4CA536CC"/>
    <w:rsid w:val="4CA8252C"/>
    <w:rsid w:val="4CB107E4"/>
    <w:rsid w:val="4CB8016E"/>
    <w:rsid w:val="4CBB62EB"/>
    <w:rsid w:val="4CC01CF8"/>
    <w:rsid w:val="4CCF7D94"/>
    <w:rsid w:val="4CD51C9D"/>
    <w:rsid w:val="4CD94E20"/>
    <w:rsid w:val="4CF02636"/>
    <w:rsid w:val="4CF029E6"/>
    <w:rsid w:val="4CFA4A2F"/>
    <w:rsid w:val="4CFE19BB"/>
    <w:rsid w:val="4D023A66"/>
    <w:rsid w:val="4D203016"/>
    <w:rsid w:val="4D207A05"/>
    <w:rsid w:val="4D2B7DC0"/>
    <w:rsid w:val="4D3010B2"/>
    <w:rsid w:val="4D44614C"/>
    <w:rsid w:val="4D521CE7"/>
    <w:rsid w:val="4D53283E"/>
    <w:rsid w:val="4D85403F"/>
    <w:rsid w:val="4D8D144B"/>
    <w:rsid w:val="4D8F7D9A"/>
    <w:rsid w:val="4D9258D3"/>
    <w:rsid w:val="4D9B696C"/>
    <w:rsid w:val="4D9D5EF9"/>
    <w:rsid w:val="4DA150CC"/>
    <w:rsid w:val="4DA71FF5"/>
    <w:rsid w:val="4DA9228F"/>
    <w:rsid w:val="4DA9626A"/>
    <w:rsid w:val="4DAA04AC"/>
    <w:rsid w:val="4DC14E74"/>
    <w:rsid w:val="4DCA5A2D"/>
    <w:rsid w:val="4DD17973"/>
    <w:rsid w:val="4DF92CF9"/>
    <w:rsid w:val="4DFC4574"/>
    <w:rsid w:val="4DFF5FFA"/>
    <w:rsid w:val="4E015C76"/>
    <w:rsid w:val="4E046B0C"/>
    <w:rsid w:val="4E113C23"/>
    <w:rsid w:val="4E213D88"/>
    <w:rsid w:val="4E244E42"/>
    <w:rsid w:val="4E257040"/>
    <w:rsid w:val="4E294664"/>
    <w:rsid w:val="4E310026"/>
    <w:rsid w:val="4E3450DC"/>
    <w:rsid w:val="4E4A17FE"/>
    <w:rsid w:val="4E4A2325"/>
    <w:rsid w:val="4E5B4DBE"/>
    <w:rsid w:val="4E614CA7"/>
    <w:rsid w:val="4E66332D"/>
    <w:rsid w:val="4E6C5236"/>
    <w:rsid w:val="4E707C5F"/>
    <w:rsid w:val="4E7B75FE"/>
    <w:rsid w:val="4E7E7024"/>
    <w:rsid w:val="4E8512CD"/>
    <w:rsid w:val="4E895C6B"/>
    <w:rsid w:val="4E8C398D"/>
    <w:rsid w:val="4E965174"/>
    <w:rsid w:val="4E9D1289"/>
    <w:rsid w:val="4EA91C8B"/>
    <w:rsid w:val="4EB14965"/>
    <w:rsid w:val="4ECC11C2"/>
    <w:rsid w:val="4ECC48FD"/>
    <w:rsid w:val="4ED42F55"/>
    <w:rsid w:val="4EEF61F4"/>
    <w:rsid w:val="4EF03291"/>
    <w:rsid w:val="4EF6519A"/>
    <w:rsid w:val="4EF75D33"/>
    <w:rsid w:val="4EFD50D2"/>
    <w:rsid w:val="4EFF121C"/>
    <w:rsid w:val="4F07521B"/>
    <w:rsid w:val="4F080938"/>
    <w:rsid w:val="4F0E5712"/>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B42FCF"/>
    <w:rsid w:val="4FB52EF3"/>
    <w:rsid w:val="4FB777D7"/>
    <w:rsid w:val="4FC36A05"/>
    <w:rsid w:val="4FC7362A"/>
    <w:rsid w:val="4FD56D87"/>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5341A"/>
    <w:rsid w:val="505C3614"/>
    <w:rsid w:val="50676C11"/>
    <w:rsid w:val="50682C89"/>
    <w:rsid w:val="50774B6D"/>
    <w:rsid w:val="508C1DCB"/>
    <w:rsid w:val="50BF1B85"/>
    <w:rsid w:val="50C0087A"/>
    <w:rsid w:val="50D03640"/>
    <w:rsid w:val="50D253CB"/>
    <w:rsid w:val="50E449C6"/>
    <w:rsid w:val="50E475D7"/>
    <w:rsid w:val="50F254B2"/>
    <w:rsid w:val="50FF2EDD"/>
    <w:rsid w:val="51000132"/>
    <w:rsid w:val="511B7FA7"/>
    <w:rsid w:val="51275155"/>
    <w:rsid w:val="51285E95"/>
    <w:rsid w:val="512C17E2"/>
    <w:rsid w:val="51524753"/>
    <w:rsid w:val="515B1740"/>
    <w:rsid w:val="5173296C"/>
    <w:rsid w:val="51744C0F"/>
    <w:rsid w:val="51792CBB"/>
    <w:rsid w:val="51797CE2"/>
    <w:rsid w:val="518112F3"/>
    <w:rsid w:val="51846ACD"/>
    <w:rsid w:val="51854F03"/>
    <w:rsid w:val="5186674D"/>
    <w:rsid w:val="51975E97"/>
    <w:rsid w:val="51A3627A"/>
    <w:rsid w:val="51A71634"/>
    <w:rsid w:val="51B14BED"/>
    <w:rsid w:val="51BA28A2"/>
    <w:rsid w:val="51DC7F9D"/>
    <w:rsid w:val="51E51984"/>
    <w:rsid w:val="51E55C99"/>
    <w:rsid w:val="51F50173"/>
    <w:rsid w:val="51FB343D"/>
    <w:rsid w:val="52044E1D"/>
    <w:rsid w:val="52454216"/>
    <w:rsid w:val="524717A4"/>
    <w:rsid w:val="524A3A31"/>
    <w:rsid w:val="52526454"/>
    <w:rsid w:val="52597DAA"/>
    <w:rsid w:val="525C1CEF"/>
    <w:rsid w:val="525E0C42"/>
    <w:rsid w:val="525F1CB4"/>
    <w:rsid w:val="52717917"/>
    <w:rsid w:val="527350D1"/>
    <w:rsid w:val="527C7F5F"/>
    <w:rsid w:val="528B5767"/>
    <w:rsid w:val="528F7862"/>
    <w:rsid w:val="529408D1"/>
    <w:rsid w:val="52946F74"/>
    <w:rsid w:val="52986A2B"/>
    <w:rsid w:val="529A0AE3"/>
    <w:rsid w:val="52AF2D38"/>
    <w:rsid w:val="52BE4B87"/>
    <w:rsid w:val="52C1320F"/>
    <w:rsid w:val="52C316B0"/>
    <w:rsid w:val="52C73313"/>
    <w:rsid w:val="52D33625"/>
    <w:rsid w:val="52D962FB"/>
    <w:rsid w:val="52DB5362"/>
    <w:rsid w:val="52E223BF"/>
    <w:rsid w:val="52E75F57"/>
    <w:rsid w:val="52E90593"/>
    <w:rsid w:val="52F543A6"/>
    <w:rsid w:val="530C2ACD"/>
    <w:rsid w:val="530D0D17"/>
    <w:rsid w:val="531471DF"/>
    <w:rsid w:val="531A7922"/>
    <w:rsid w:val="532841B4"/>
    <w:rsid w:val="532E16F7"/>
    <w:rsid w:val="53411573"/>
    <w:rsid w:val="5344009F"/>
    <w:rsid w:val="536B08B7"/>
    <w:rsid w:val="536B679F"/>
    <w:rsid w:val="537012AB"/>
    <w:rsid w:val="537A7588"/>
    <w:rsid w:val="5381780D"/>
    <w:rsid w:val="538752B5"/>
    <w:rsid w:val="539B603E"/>
    <w:rsid w:val="53A279AB"/>
    <w:rsid w:val="53A3105E"/>
    <w:rsid w:val="53B4015C"/>
    <w:rsid w:val="53BD686C"/>
    <w:rsid w:val="53C64B93"/>
    <w:rsid w:val="53CA0F06"/>
    <w:rsid w:val="53D855EF"/>
    <w:rsid w:val="53F6524D"/>
    <w:rsid w:val="54057172"/>
    <w:rsid w:val="540754E7"/>
    <w:rsid w:val="5409646C"/>
    <w:rsid w:val="541C5A99"/>
    <w:rsid w:val="5428418F"/>
    <w:rsid w:val="543350B2"/>
    <w:rsid w:val="544259AB"/>
    <w:rsid w:val="54461FC5"/>
    <w:rsid w:val="54480B4C"/>
    <w:rsid w:val="545952F2"/>
    <w:rsid w:val="545E1779"/>
    <w:rsid w:val="54691D09"/>
    <w:rsid w:val="546E34AA"/>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2E3233"/>
    <w:rsid w:val="554553E5"/>
    <w:rsid w:val="55460DE4"/>
    <w:rsid w:val="55481377"/>
    <w:rsid w:val="55615F59"/>
    <w:rsid w:val="5568752D"/>
    <w:rsid w:val="55745A4A"/>
    <w:rsid w:val="55762246"/>
    <w:rsid w:val="5576730D"/>
    <w:rsid w:val="557C6D64"/>
    <w:rsid w:val="55966EF8"/>
    <w:rsid w:val="55992B5C"/>
    <w:rsid w:val="55A92695"/>
    <w:rsid w:val="55B1164D"/>
    <w:rsid w:val="55B31A9D"/>
    <w:rsid w:val="55B40974"/>
    <w:rsid w:val="55B4735E"/>
    <w:rsid w:val="55B549BA"/>
    <w:rsid w:val="55B764F7"/>
    <w:rsid w:val="55BB221D"/>
    <w:rsid w:val="55BD69E6"/>
    <w:rsid w:val="55D32EED"/>
    <w:rsid w:val="55E95835"/>
    <w:rsid w:val="55EA04EE"/>
    <w:rsid w:val="55EE5388"/>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73BDE"/>
    <w:rsid w:val="565A24B9"/>
    <w:rsid w:val="56612B28"/>
    <w:rsid w:val="56656122"/>
    <w:rsid w:val="566C5C56"/>
    <w:rsid w:val="566E1159"/>
    <w:rsid w:val="56701367"/>
    <w:rsid w:val="567120DE"/>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ED38C9"/>
    <w:rsid w:val="56ED4D2C"/>
    <w:rsid w:val="56ED52AB"/>
    <w:rsid w:val="56F50139"/>
    <w:rsid w:val="57055AD1"/>
    <w:rsid w:val="570A485B"/>
    <w:rsid w:val="57194E75"/>
    <w:rsid w:val="5724407D"/>
    <w:rsid w:val="574349A4"/>
    <w:rsid w:val="574D7300"/>
    <w:rsid w:val="575B54E2"/>
    <w:rsid w:val="575C3B41"/>
    <w:rsid w:val="576461D9"/>
    <w:rsid w:val="57780712"/>
    <w:rsid w:val="578A642E"/>
    <w:rsid w:val="57995BE5"/>
    <w:rsid w:val="579F72CD"/>
    <w:rsid w:val="57A42087"/>
    <w:rsid w:val="57A9565E"/>
    <w:rsid w:val="57AC7A64"/>
    <w:rsid w:val="57B30986"/>
    <w:rsid w:val="57B55DAB"/>
    <w:rsid w:val="57B569C0"/>
    <w:rsid w:val="57B93204"/>
    <w:rsid w:val="57BB6BFD"/>
    <w:rsid w:val="57BF5603"/>
    <w:rsid w:val="57C16588"/>
    <w:rsid w:val="57CC711C"/>
    <w:rsid w:val="57CE4E71"/>
    <w:rsid w:val="57D421C2"/>
    <w:rsid w:val="57E3283E"/>
    <w:rsid w:val="57EA5590"/>
    <w:rsid w:val="57FF4799"/>
    <w:rsid w:val="58190752"/>
    <w:rsid w:val="581F2185"/>
    <w:rsid w:val="5821545B"/>
    <w:rsid w:val="582675C8"/>
    <w:rsid w:val="582770EB"/>
    <w:rsid w:val="583E5C20"/>
    <w:rsid w:val="583F50BD"/>
    <w:rsid w:val="584432DE"/>
    <w:rsid w:val="58487AE6"/>
    <w:rsid w:val="58493723"/>
    <w:rsid w:val="58530075"/>
    <w:rsid w:val="585844FD"/>
    <w:rsid w:val="585C0E40"/>
    <w:rsid w:val="586628D4"/>
    <w:rsid w:val="586E1F24"/>
    <w:rsid w:val="586F4514"/>
    <w:rsid w:val="58712EA8"/>
    <w:rsid w:val="589571E2"/>
    <w:rsid w:val="5899092D"/>
    <w:rsid w:val="58A53A58"/>
    <w:rsid w:val="58B24108"/>
    <w:rsid w:val="58C17300"/>
    <w:rsid w:val="58C3742F"/>
    <w:rsid w:val="58D0053D"/>
    <w:rsid w:val="58EE32BB"/>
    <w:rsid w:val="58F34EDC"/>
    <w:rsid w:val="58F62669"/>
    <w:rsid w:val="58FF7636"/>
    <w:rsid w:val="59001493"/>
    <w:rsid w:val="590E1AE5"/>
    <w:rsid w:val="590E661B"/>
    <w:rsid w:val="590F1AAD"/>
    <w:rsid w:val="591070E2"/>
    <w:rsid w:val="59176EB9"/>
    <w:rsid w:val="591923BD"/>
    <w:rsid w:val="591A203C"/>
    <w:rsid w:val="591B271B"/>
    <w:rsid w:val="591B762A"/>
    <w:rsid w:val="5920611F"/>
    <w:rsid w:val="593947E3"/>
    <w:rsid w:val="594444F3"/>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51FCA"/>
    <w:rsid w:val="59CB3236"/>
    <w:rsid w:val="59D27D0B"/>
    <w:rsid w:val="59D76997"/>
    <w:rsid w:val="59DA647E"/>
    <w:rsid w:val="59E41216"/>
    <w:rsid w:val="59E41B22"/>
    <w:rsid w:val="59E81184"/>
    <w:rsid w:val="59FA6A84"/>
    <w:rsid w:val="59FC1724"/>
    <w:rsid w:val="5A1225D4"/>
    <w:rsid w:val="5A171EB1"/>
    <w:rsid w:val="5A1A79E1"/>
    <w:rsid w:val="5A1E1CAC"/>
    <w:rsid w:val="5A1E40C3"/>
    <w:rsid w:val="5A325088"/>
    <w:rsid w:val="5A454C62"/>
    <w:rsid w:val="5A46457E"/>
    <w:rsid w:val="5A4762DE"/>
    <w:rsid w:val="5A556E1A"/>
    <w:rsid w:val="5A61158B"/>
    <w:rsid w:val="5A612353"/>
    <w:rsid w:val="5A613550"/>
    <w:rsid w:val="5A66425D"/>
    <w:rsid w:val="5A671CDE"/>
    <w:rsid w:val="5A680140"/>
    <w:rsid w:val="5A6E3CF5"/>
    <w:rsid w:val="5A6F6678"/>
    <w:rsid w:val="5A76571C"/>
    <w:rsid w:val="5A7A55ED"/>
    <w:rsid w:val="5A8218B6"/>
    <w:rsid w:val="5A876343"/>
    <w:rsid w:val="5A9802AF"/>
    <w:rsid w:val="5A9B1234"/>
    <w:rsid w:val="5AB02BF1"/>
    <w:rsid w:val="5AB13CD8"/>
    <w:rsid w:val="5ADC509F"/>
    <w:rsid w:val="5AEB3CF1"/>
    <w:rsid w:val="5AEC1F37"/>
    <w:rsid w:val="5AFB6928"/>
    <w:rsid w:val="5B0C6070"/>
    <w:rsid w:val="5B0E7A56"/>
    <w:rsid w:val="5B3249B7"/>
    <w:rsid w:val="5B4558EE"/>
    <w:rsid w:val="5B4F6759"/>
    <w:rsid w:val="5B575963"/>
    <w:rsid w:val="5B5F2276"/>
    <w:rsid w:val="5B60481D"/>
    <w:rsid w:val="5B77571F"/>
    <w:rsid w:val="5B7B5AF5"/>
    <w:rsid w:val="5B7D50AA"/>
    <w:rsid w:val="5B9B5EF1"/>
    <w:rsid w:val="5BA65531"/>
    <w:rsid w:val="5BAB48F4"/>
    <w:rsid w:val="5BBE5027"/>
    <w:rsid w:val="5BC26603"/>
    <w:rsid w:val="5BD11960"/>
    <w:rsid w:val="5BE302D1"/>
    <w:rsid w:val="5BE43388"/>
    <w:rsid w:val="5BE85354"/>
    <w:rsid w:val="5BF92FF2"/>
    <w:rsid w:val="5C032D84"/>
    <w:rsid w:val="5C0702AD"/>
    <w:rsid w:val="5C0F1831"/>
    <w:rsid w:val="5C1716E2"/>
    <w:rsid w:val="5C1C61C8"/>
    <w:rsid w:val="5C2E0FC6"/>
    <w:rsid w:val="5C2F352C"/>
    <w:rsid w:val="5C3F5C68"/>
    <w:rsid w:val="5C4415EF"/>
    <w:rsid w:val="5C471E62"/>
    <w:rsid w:val="5C477882"/>
    <w:rsid w:val="5C486BA1"/>
    <w:rsid w:val="5C671943"/>
    <w:rsid w:val="5C695A33"/>
    <w:rsid w:val="5C6C2988"/>
    <w:rsid w:val="5C8432AF"/>
    <w:rsid w:val="5C863F23"/>
    <w:rsid w:val="5C924E81"/>
    <w:rsid w:val="5CA60F7A"/>
    <w:rsid w:val="5CA97ED8"/>
    <w:rsid w:val="5CAA298A"/>
    <w:rsid w:val="5CBA2066"/>
    <w:rsid w:val="5CBF6B48"/>
    <w:rsid w:val="5CCC6400"/>
    <w:rsid w:val="5CDE2E5E"/>
    <w:rsid w:val="5CE65575"/>
    <w:rsid w:val="5CF716F1"/>
    <w:rsid w:val="5CFC04B2"/>
    <w:rsid w:val="5CFE29DB"/>
    <w:rsid w:val="5CFF3025"/>
    <w:rsid w:val="5D0F654A"/>
    <w:rsid w:val="5D1400E2"/>
    <w:rsid w:val="5D140B48"/>
    <w:rsid w:val="5D194186"/>
    <w:rsid w:val="5D203D40"/>
    <w:rsid w:val="5D261BE2"/>
    <w:rsid w:val="5D3D5F84"/>
    <w:rsid w:val="5D404A5F"/>
    <w:rsid w:val="5D666BA5"/>
    <w:rsid w:val="5D724260"/>
    <w:rsid w:val="5D7E0072"/>
    <w:rsid w:val="5D8E3F91"/>
    <w:rsid w:val="5D8F4C98"/>
    <w:rsid w:val="5D912E40"/>
    <w:rsid w:val="5DBB7E49"/>
    <w:rsid w:val="5DC5356A"/>
    <w:rsid w:val="5DCF5904"/>
    <w:rsid w:val="5DD83C04"/>
    <w:rsid w:val="5DE12D83"/>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7B340D"/>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EA6A7B"/>
    <w:rsid w:val="5EF35656"/>
    <w:rsid w:val="5EFC730F"/>
    <w:rsid w:val="5EFE04E0"/>
    <w:rsid w:val="5F0451A2"/>
    <w:rsid w:val="5F046BCF"/>
    <w:rsid w:val="5F0F298F"/>
    <w:rsid w:val="5F214EA0"/>
    <w:rsid w:val="5F2B57AF"/>
    <w:rsid w:val="5F3657B2"/>
    <w:rsid w:val="5F3720D4"/>
    <w:rsid w:val="5F4131D6"/>
    <w:rsid w:val="5F456359"/>
    <w:rsid w:val="5F4D40C1"/>
    <w:rsid w:val="5F51056D"/>
    <w:rsid w:val="5F554693"/>
    <w:rsid w:val="5F59087D"/>
    <w:rsid w:val="5F5E09A5"/>
    <w:rsid w:val="5F60684F"/>
    <w:rsid w:val="5F620CC4"/>
    <w:rsid w:val="5F677568"/>
    <w:rsid w:val="5F733BFA"/>
    <w:rsid w:val="5F8A06EE"/>
    <w:rsid w:val="5F8B6ACE"/>
    <w:rsid w:val="5F914972"/>
    <w:rsid w:val="5FB05A09"/>
    <w:rsid w:val="5FB14123"/>
    <w:rsid w:val="5FB45C89"/>
    <w:rsid w:val="5FBA395F"/>
    <w:rsid w:val="5FC666B6"/>
    <w:rsid w:val="5FD96BCD"/>
    <w:rsid w:val="5FDA5E94"/>
    <w:rsid w:val="5FE22D60"/>
    <w:rsid w:val="5FEA2837"/>
    <w:rsid w:val="5FEC366F"/>
    <w:rsid w:val="5FFF5224"/>
    <w:rsid w:val="600132ED"/>
    <w:rsid w:val="60057C1D"/>
    <w:rsid w:val="60094E5C"/>
    <w:rsid w:val="600F12A5"/>
    <w:rsid w:val="600F70A7"/>
    <w:rsid w:val="601502C3"/>
    <w:rsid w:val="6027474E"/>
    <w:rsid w:val="60326269"/>
    <w:rsid w:val="604441A8"/>
    <w:rsid w:val="604553D8"/>
    <w:rsid w:val="60457581"/>
    <w:rsid w:val="60545FDB"/>
    <w:rsid w:val="60553510"/>
    <w:rsid w:val="605A4896"/>
    <w:rsid w:val="605D7869"/>
    <w:rsid w:val="606409F1"/>
    <w:rsid w:val="606F38F4"/>
    <w:rsid w:val="60783253"/>
    <w:rsid w:val="6087332C"/>
    <w:rsid w:val="60890F6F"/>
    <w:rsid w:val="608D3CE6"/>
    <w:rsid w:val="608F0CD7"/>
    <w:rsid w:val="608F2E78"/>
    <w:rsid w:val="60903845"/>
    <w:rsid w:val="609B2C68"/>
    <w:rsid w:val="609B5574"/>
    <w:rsid w:val="609D5B65"/>
    <w:rsid w:val="60A633A3"/>
    <w:rsid w:val="60AF79B3"/>
    <w:rsid w:val="60B42061"/>
    <w:rsid w:val="60B430B8"/>
    <w:rsid w:val="60B4686A"/>
    <w:rsid w:val="60B630F3"/>
    <w:rsid w:val="60B71EB3"/>
    <w:rsid w:val="60C223CE"/>
    <w:rsid w:val="60C26A4B"/>
    <w:rsid w:val="60CB1A8B"/>
    <w:rsid w:val="60D1524B"/>
    <w:rsid w:val="60D63D23"/>
    <w:rsid w:val="60D6574E"/>
    <w:rsid w:val="60E857D1"/>
    <w:rsid w:val="60EB5C13"/>
    <w:rsid w:val="60EC2CBA"/>
    <w:rsid w:val="60EF3389"/>
    <w:rsid w:val="60F054A3"/>
    <w:rsid w:val="6106406B"/>
    <w:rsid w:val="610750C1"/>
    <w:rsid w:val="61254671"/>
    <w:rsid w:val="612620F2"/>
    <w:rsid w:val="612B2AB2"/>
    <w:rsid w:val="61451322"/>
    <w:rsid w:val="614D1512"/>
    <w:rsid w:val="614D5D11"/>
    <w:rsid w:val="6155015B"/>
    <w:rsid w:val="615D137E"/>
    <w:rsid w:val="616913AB"/>
    <w:rsid w:val="616A0BCB"/>
    <w:rsid w:val="6170126D"/>
    <w:rsid w:val="61712CBD"/>
    <w:rsid w:val="617414DF"/>
    <w:rsid w:val="617B75FE"/>
    <w:rsid w:val="618A1E17"/>
    <w:rsid w:val="61942BFF"/>
    <w:rsid w:val="61955A2F"/>
    <w:rsid w:val="619931C4"/>
    <w:rsid w:val="61A01626"/>
    <w:rsid w:val="61B009D1"/>
    <w:rsid w:val="61B34454"/>
    <w:rsid w:val="61B81661"/>
    <w:rsid w:val="61BF2475"/>
    <w:rsid w:val="61C955FD"/>
    <w:rsid w:val="61CC2D28"/>
    <w:rsid w:val="61D25C9C"/>
    <w:rsid w:val="61E0665A"/>
    <w:rsid w:val="61E16FA2"/>
    <w:rsid w:val="61EA56B3"/>
    <w:rsid w:val="61EE40B9"/>
    <w:rsid w:val="61F20130"/>
    <w:rsid w:val="620307DC"/>
    <w:rsid w:val="62095E3C"/>
    <w:rsid w:val="6212094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F4555"/>
    <w:rsid w:val="62C21B13"/>
    <w:rsid w:val="62C50343"/>
    <w:rsid w:val="62CA0D0A"/>
    <w:rsid w:val="62CF33A7"/>
    <w:rsid w:val="62D91738"/>
    <w:rsid w:val="62E22CD4"/>
    <w:rsid w:val="62FA4629"/>
    <w:rsid w:val="62FD3200"/>
    <w:rsid w:val="63024214"/>
    <w:rsid w:val="630A4755"/>
    <w:rsid w:val="6310767B"/>
    <w:rsid w:val="63143D77"/>
    <w:rsid w:val="631B488C"/>
    <w:rsid w:val="631C34A7"/>
    <w:rsid w:val="63327CCE"/>
    <w:rsid w:val="63337E85"/>
    <w:rsid w:val="63423AE9"/>
    <w:rsid w:val="63436BE9"/>
    <w:rsid w:val="63501871"/>
    <w:rsid w:val="635902CD"/>
    <w:rsid w:val="63600718"/>
    <w:rsid w:val="636448F7"/>
    <w:rsid w:val="637F3871"/>
    <w:rsid w:val="637F7D4A"/>
    <w:rsid w:val="6386572E"/>
    <w:rsid w:val="63896059"/>
    <w:rsid w:val="63CA6C14"/>
    <w:rsid w:val="63CE25BF"/>
    <w:rsid w:val="63DA1C8E"/>
    <w:rsid w:val="63E6151F"/>
    <w:rsid w:val="63EA067C"/>
    <w:rsid w:val="63ED1601"/>
    <w:rsid w:val="63F41800"/>
    <w:rsid w:val="64050300"/>
    <w:rsid w:val="640F2D06"/>
    <w:rsid w:val="641626FC"/>
    <w:rsid w:val="64216D80"/>
    <w:rsid w:val="642C2586"/>
    <w:rsid w:val="642E46BB"/>
    <w:rsid w:val="643E4883"/>
    <w:rsid w:val="64426EE7"/>
    <w:rsid w:val="644E03A0"/>
    <w:rsid w:val="64570EDA"/>
    <w:rsid w:val="64586863"/>
    <w:rsid w:val="645E7196"/>
    <w:rsid w:val="64602BDC"/>
    <w:rsid w:val="64690054"/>
    <w:rsid w:val="646E20A6"/>
    <w:rsid w:val="64703B3C"/>
    <w:rsid w:val="64706BBE"/>
    <w:rsid w:val="648F729D"/>
    <w:rsid w:val="649B12CD"/>
    <w:rsid w:val="649C04A0"/>
    <w:rsid w:val="649C1DFE"/>
    <w:rsid w:val="64A123A9"/>
    <w:rsid w:val="64A947EF"/>
    <w:rsid w:val="64AE02D9"/>
    <w:rsid w:val="64B06866"/>
    <w:rsid w:val="64B6739B"/>
    <w:rsid w:val="64B8674B"/>
    <w:rsid w:val="64C60996"/>
    <w:rsid w:val="64C610C5"/>
    <w:rsid w:val="64CF1BF3"/>
    <w:rsid w:val="64D07675"/>
    <w:rsid w:val="64D811FE"/>
    <w:rsid w:val="64D91611"/>
    <w:rsid w:val="64E46521"/>
    <w:rsid w:val="64F03EAD"/>
    <w:rsid w:val="64F2095B"/>
    <w:rsid w:val="650B79D4"/>
    <w:rsid w:val="650C1A58"/>
    <w:rsid w:val="65135B60"/>
    <w:rsid w:val="651B09EE"/>
    <w:rsid w:val="652A1008"/>
    <w:rsid w:val="652A6885"/>
    <w:rsid w:val="652B262D"/>
    <w:rsid w:val="652B6A8A"/>
    <w:rsid w:val="652D418B"/>
    <w:rsid w:val="6543159A"/>
    <w:rsid w:val="65462238"/>
    <w:rsid w:val="65665DD5"/>
    <w:rsid w:val="65670505"/>
    <w:rsid w:val="656D50AE"/>
    <w:rsid w:val="656D639A"/>
    <w:rsid w:val="65706D1E"/>
    <w:rsid w:val="65827499"/>
    <w:rsid w:val="658A3829"/>
    <w:rsid w:val="658D7063"/>
    <w:rsid w:val="658E7B9D"/>
    <w:rsid w:val="65923EB0"/>
    <w:rsid w:val="65A16A49"/>
    <w:rsid w:val="65A550CF"/>
    <w:rsid w:val="65AA0B75"/>
    <w:rsid w:val="65AA6E12"/>
    <w:rsid w:val="65AF3ECF"/>
    <w:rsid w:val="65B04B10"/>
    <w:rsid w:val="65BB4041"/>
    <w:rsid w:val="65D72426"/>
    <w:rsid w:val="65DD48D9"/>
    <w:rsid w:val="65F93B87"/>
    <w:rsid w:val="66023510"/>
    <w:rsid w:val="661474D7"/>
    <w:rsid w:val="6615441B"/>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D2A44"/>
    <w:rsid w:val="66F1052B"/>
    <w:rsid w:val="66F96CC1"/>
    <w:rsid w:val="6717075E"/>
    <w:rsid w:val="6720488D"/>
    <w:rsid w:val="6729654F"/>
    <w:rsid w:val="673059BF"/>
    <w:rsid w:val="673E6FCE"/>
    <w:rsid w:val="67444CBD"/>
    <w:rsid w:val="675960D2"/>
    <w:rsid w:val="67622F37"/>
    <w:rsid w:val="6762412B"/>
    <w:rsid w:val="6775534A"/>
    <w:rsid w:val="677862CF"/>
    <w:rsid w:val="677C6FB7"/>
    <w:rsid w:val="67891DEC"/>
    <w:rsid w:val="679272CF"/>
    <w:rsid w:val="6798462F"/>
    <w:rsid w:val="67A63BCC"/>
    <w:rsid w:val="67A858DB"/>
    <w:rsid w:val="67AC35CC"/>
    <w:rsid w:val="67AF15B1"/>
    <w:rsid w:val="67B06428"/>
    <w:rsid w:val="67B65CC6"/>
    <w:rsid w:val="67C87352"/>
    <w:rsid w:val="67D853EE"/>
    <w:rsid w:val="67E222E0"/>
    <w:rsid w:val="67E625EB"/>
    <w:rsid w:val="67EC24B4"/>
    <w:rsid w:val="67EC307A"/>
    <w:rsid w:val="67EF4739"/>
    <w:rsid w:val="67F25F98"/>
    <w:rsid w:val="67F30197"/>
    <w:rsid w:val="67FC37A4"/>
    <w:rsid w:val="67FE4166"/>
    <w:rsid w:val="68070F5D"/>
    <w:rsid w:val="680B583D"/>
    <w:rsid w:val="681810C8"/>
    <w:rsid w:val="682048A9"/>
    <w:rsid w:val="6825574C"/>
    <w:rsid w:val="683B7310"/>
    <w:rsid w:val="68425CDE"/>
    <w:rsid w:val="684B1EAA"/>
    <w:rsid w:val="68500343"/>
    <w:rsid w:val="68504BA4"/>
    <w:rsid w:val="68623017"/>
    <w:rsid w:val="68634CCB"/>
    <w:rsid w:val="68637551"/>
    <w:rsid w:val="686E7AE0"/>
    <w:rsid w:val="686F0DE5"/>
    <w:rsid w:val="68780D60"/>
    <w:rsid w:val="68807533"/>
    <w:rsid w:val="68814582"/>
    <w:rsid w:val="68815C43"/>
    <w:rsid w:val="68863D3E"/>
    <w:rsid w:val="6893111D"/>
    <w:rsid w:val="68953223"/>
    <w:rsid w:val="68AE7313"/>
    <w:rsid w:val="68B07650"/>
    <w:rsid w:val="68B417F3"/>
    <w:rsid w:val="68C401C3"/>
    <w:rsid w:val="68C47B90"/>
    <w:rsid w:val="68C804A3"/>
    <w:rsid w:val="68EE7135"/>
    <w:rsid w:val="6910009B"/>
    <w:rsid w:val="691163F0"/>
    <w:rsid w:val="6912549A"/>
    <w:rsid w:val="691609C9"/>
    <w:rsid w:val="6924760F"/>
    <w:rsid w:val="692F783B"/>
    <w:rsid w:val="6936532B"/>
    <w:rsid w:val="694D7C58"/>
    <w:rsid w:val="694E16EE"/>
    <w:rsid w:val="69580D63"/>
    <w:rsid w:val="69597F0F"/>
    <w:rsid w:val="696467EE"/>
    <w:rsid w:val="698066A4"/>
    <w:rsid w:val="69840249"/>
    <w:rsid w:val="69843637"/>
    <w:rsid w:val="69960847"/>
    <w:rsid w:val="699858F0"/>
    <w:rsid w:val="699C7E6B"/>
    <w:rsid w:val="69A26B47"/>
    <w:rsid w:val="69A833BD"/>
    <w:rsid w:val="69AA1A66"/>
    <w:rsid w:val="69BA5584"/>
    <w:rsid w:val="69CF1CA6"/>
    <w:rsid w:val="69DA5302"/>
    <w:rsid w:val="69DD0FBC"/>
    <w:rsid w:val="69DD26B5"/>
    <w:rsid w:val="69E90E62"/>
    <w:rsid w:val="69EB34E6"/>
    <w:rsid w:val="69EB359B"/>
    <w:rsid w:val="69EF6835"/>
    <w:rsid w:val="69F755AC"/>
    <w:rsid w:val="69FF55EA"/>
    <w:rsid w:val="6A0F2A90"/>
    <w:rsid w:val="6A1F72B7"/>
    <w:rsid w:val="6A2F04CF"/>
    <w:rsid w:val="6A5012FB"/>
    <w:rsid w:val="6A577583"/>
    <w:rsid w:val="6A5E4BD0"/>
    <w:rsid w:val="6A68311E"/>
    <w:rsid w:val="6A6869A1"/>
    <w:rsid w:val="6A6F632C"/>
    <w:rsid w:val="6A763715"/>
    <w:rsid w:val="6A834FCD"/>
    <w:rsid w:val="6A8C2C9D"/>
    <w:rsid w:val="6A9134D5"/>
    <w:rsid w:val="6A9C3978"/>
    <w:rsid w:val="6AA9740B"/>
    <w:rsid w:val="6AB06789"/>
    <w:rsid w:val="6AB3504A"/>
    <w:rsid w:val="6AC34B1A"/>
    <w:rsid w:val="6AC760BC"/>
    <w:rsid w:val="6AD87FA3"/>
    <w:rsid w:val="6AEB34A6"/>
    <w:rsid w:val="6AF533AB"/>
    <w:rsid w:val="6B0420A3"/>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91745D"/>
    <w:rsid w:val="6B917708"/>
    <w:rsid w:val="6B992596"/>
    <w:rsid w:val="6BAA6221"/>
    <w:rsid w:val="6BAB7FC7"/>
    <w:rsid w:val="6BB256BF"/>
    <w:rsid w:val="6BB457E7"/>
    <w:rsid w:val="6BC61B65"/>
    <w:rsid w:val="6BCE0CC9"/>
    <w:rsid w:val="6BEC0EBF"/>
    <w:rsid w:val="6C0A6F29"/>
    <w:rsid w:val="6C1D4D6E"/>
    <w:rsid w:val="6C397257"/>
    <w:rsid w:val="6C5042C3"/>
    <w:rsid w:val="6C734478"/>
    <w:rsid w:val="6C7468C6"/>
    <w:rsid w:val="6C797711"/>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D748E"/>
    <w:rsid w:val="6D301A35"/>
    <w:rsid w:val="6D3617DF"/>
    <w:rsid w:val="6D394D66"/>
    <w:rsid w:val="6D3F61F3"/>
    <w:rsid w:val="6D437DBD"/>
    <w:rsid w:val="6D450054"/>
    <w:rsid w:val="6D465AD5"/>
    <w:rsid w:val="6D4B20D4"/>
    <w:rsid w:val="6D4E7B40"/>
    <w:rsid w:val="6D566F0F"/>
    <w:rsid w:val="6D581273"/>
    <w:rsid w:val="6D602485"/>
    <w:rsid w:val="6D6F3412"/>
    <w:rsid w:val="6D76249C"/>
    <w:rsid w:val="6D7D0763"/>
    <w:rsid w:val="6D836F72"/>
    <w:rsid w:val="6D894D24"/>
    <w:rsid w:val="6D904204"/>
    <w:rsid w:val="6DBB5F10"/>
    <w:rsid w:val="6DBC508B"/>
    <w:rsid w:val="6DC41DD2"/>
    <w:rsid w:val="6DCC7033"/>
    <w:rsid w:val="6DCE6CB3"/>
    <w:rsid w:val="6DDA4029"/>
    <w:rsid w:val="6DDC3A4A"/>
    <w:rsid w:val="6DDE3DAF"/>
    <w:rsid w:val="6DE10A9E"/>
    <w:rsid w:val="6DE229D6"/>
    <w:rsid w:val="6DE731FD"/>
    <w:rsid w:val="6DE74169"/>
    <w:rsid w:val="6DF8036A"/>
    <w:rsid w:val="6E023C8A"/>
    <w:rsid w:val="6E073935"/>
    <w:rsid w:val="6E1040CA"/>
    <w:rsid w:val="6E2860C8"/>
    <w:rsid w:val="6E2A03C1"/>
    <w:rsid w:val="6E3241BE"/>
    <w:rsid w:val="6E370B72"/>
    <w:rsid w:val="6E3A103C"/>
    <w:rsid w:val="6E475B2E"/>
    <w:rsid w:val="6E496CB5"/>
    <w:rsid w:val="6E584699"/>
    <w:rsid w:val="6E5B23F5"/>
    <w:rsid w:val="6E5C26CF"/>
    <w:rsid w:val="6E624FA8"/>
    <w:rsid w:val="6E6457D0"/>
    <w:rsid w:val="6E6E0DBB"/>
    <w:rsid w:val="6E774C75"/>
    <w:rsid w:val="6E7838C8"/>
    <w:rsid w:val="6E85086A"/>
    <w:rsid w:val="6EAF72DE"/>
    <w:rsid w:val="6EB96C08"/>
    <w:rsid w:val="6EB97A9D"/>
    <w:rsid w:val="6EBE570F"/>
    <w:rsid w:val="6EC45F38"/>
    <w:rsid w:val="6ECE3F0B"/>
    <w:rsid w:val="6EDF4571"/>
    <w:rsid w:val="6EE35BC6"/>
    <w:rsid w:val="6EE97682"/>
    <w:rsid w:val="6EF10A90"/>
    <w:rsid w:val="6EF36A95"/>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5013AD"/>
    <w:rsid w:val="6F5668A1"/>
    <w:rsid w:val="6F5A1CBD"/>
    <w:rsid w:val="6F666DD4"/>
    <w:rsid w:val="6F723A22"/>
    <w:rsid w:val="6F750FDA"/>
    <w:rsid w:val="6F7A591A"/>
    <w:rsid w:val="6F7E0D04"/>
    <w:rsid w:val="6F811BD9"/>
    <w:rsid w:val="6F8145E3"/>
    <w:rsid w:val="6F8275FE"/>
    <w:rsid w:val="6F9C1D1C"/>
    <w:rsid w:val="6FA220B1"/>
    <w:rsid w:val="6FC61EE7"/>
    <w:rsid w:val="6FD51606"/>
    <w:rsid w:val="6FD83DCC"/>
    <w:rsid w:val="6FF3443A"/>
    <w:rsid w:val="6FFF1868"/>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766CE"/>
    <w:rsid w:val="70910C05"/>
    <w:rsid w:val="709D5E85"/>
    <w:rsid w:val="70A257D2"/>
    <w:rsid w:val="70A82C64"/>
    <w:rsid w:val="70BB05FF"/>
    <w:rsid w:val="70D442DE"/>
    <w:rsid w:val="70DB7CA6"/>
    <w:rsid w:val="70DB7E8A"/>
    <w:rsid w:val="70E154E6"/>
    <w:rsid w:val="70EE3ABE"/>
    <w:rsid w:val="70F94911"/>
    <w:rsid w:val="70FA444A"/>
    <w:rsid w:val="70FB13E9"/>
    <w:rsid w:val="710B0694"/>
    <w:rsid w:val="7110138E"/>
    <w:rsid w:val="711405DF"/>
    <w:rsid w:val="713219C2"/>
    <w:rsid w:val="71361624"/>
    <w:rsid w:val="713E0BD9"/>
    <w:rsid w:val="714B246D"/>
    <w:rsid w:val="715D0E38"/>
    <w:rsid w:val="715D148D"/>
    <w:rsid w:val="715F4C2D"/>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D07E88"/>
    <w:rsid w:val="71D5087F"/>
    <w:rsid w:val="71E77C9E"/>
    <w:rsid w:val="71E91071"/>
    <w:rsid w:val="720D7FAC"/>
    <w:rsid w:val="72125D04"/>
    <w:rsid w:val="72165B9A"/>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C4633"/>
    <w:rsid w:val="72BD4D32"/>
    <w:rsid w:val="72BF60CA"/>
    <w:rsid w:val="72C267D6"/>
    <w:rsid w:val="72C806E0"/>
    <w:rsid w:val="72CE7313"/>
    <w:rsid w:val="72E32678"/>
    <w:rsid w:val="72F13331"/>
    <w:rsid w:val="72F41282"/>
    <w:rsid w:val="72F43AB5"/>
    <w:rsid w:val="72FD78B5"/>
    <w:rsid w:val="7300561D"/>
    <w:rsid w:val="7303633C"/>
    <w:rsid w:val="73085B32"/>
    <w:rsid w:val="73206C07"/>
    <w:rsid w:val="732D6EA8"/>
    <w:rsid w:val="733D0D32"/>
    <w:rsid w:val="733E3114"/>
    <w:rsid w:val="734135F9"/>
    <w:rsid w:val="73441CC9"/>
    <w:rsid w:val="73470BBF"/>
    <w:rsid w:val="735E2B1F"/>
    <w:rsid w:val="73620C76"/>
    <w:rsid w:val="73784923"/>
    <w:rsid w:val="7388529A"/>
    <w:rsid w:val="73890773"/>
    <w:rsid w:val="738C041D"/>
    <w:rsid w:val="73910253"/>
    <w:rsid w:val="739263A6"/>
    <w:rsid w:val="739A19F7"/>
    <w:rsid w:val="73A03D5A"/>
    <w:rsid w:val="73A242ED"/>
    <w:rsid w:val="73B1065D"/>
    <w:rsid w:val="73B76769"/>
    <w:rsid w:val="73BB0F6D"/>
    <w:rsid w:val="73BE708D"/>
    <w:rsid w:val="73CD7E91"/>
    <w:rsid w:val="73D411F1"/>
    <w:rsid w:val="73D9424B"/>
    <w:rsid w:val="73D95A45"/>
    <w:rsid w:val="73DC4278"/>
    <w:rsid w:val="73E133AB"/>
    <w:rsid w:val="73F7756C"/>
    <w:rsid w:val="74046401"/>
    <w:rsid w:val="74155ABC"/>
    <w:rsid w:val="74173885"/>
    <w:rsid w:val="741F359D"/>
    <w:rsid w:val="742C1494"/>
    <w:rsid w:val="742D2163"/>
    <w:rsid w:val="7435388C"/>
    <w:rsid w:val="7435737E"/>
    <w:rsid w:val="74357542"/>
    <w:rsid w:val="743876ED"/>
    <w:rsid w:val="743A72BC"/>
    <w:rsid w:val="74461562"/>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50A4112"/>
    <w:rsid w:val="750C2E98"/>
    <w:rsid w:val="7524053F"/>
    <w:rsid w:val="753226E5"/>
    <w:rsid w:val="753811DE"/>
    <w:rsid w:val="753F32E7"/>
    <w:rsid w:val="754A0851"/>
    <w:rsid w:val="755A7620"/>
    <w:rsid w:val="755E741F"/>
    <w:rsid w:val="75626EA8"/>
    <w:rsid w:val="756B0CB3"/>
    <w:rsid w:val="756F513B"/>
    <w:rsid w:val="75784746"/>
    <w:rsid w:val="757C7B44"/>
    <w:rsid w:val="75897895"/>
    <w:rsid w:val="758E216C"/>
    <w:rsid w:val="759871F9"/>
    <w:rsid w:val="75997DE1"/>
    <w:rsid w:val="759A0161"/>
    <w:rsid w:val="759C3680"/>
    <w:rsid w:val="759E4D19"/>
    <w:rsid w:val="75A25597"/>
    <w:rsid w:val="75B66A43"/>
    <w:rsid w:val="75BB5B07"/>
    <w:rsid w:val="75BE67D4"/>
    <w:rsid w:val="75C2004C"/>
    <w:rsid w:val="75C27143"/>
    <w:rsid w:val="75C759C1"/>
    <w:rsid w:val="75C8039D"/>
    <w:rsid w:val="75D77FE2"/>
    <w:rsid w:val="75D831EF"/>
    <w:rsid w:val="75DE796D"/>
    <w:rsid w:val="75E110E2"/>
    <w:rsid w:val="75E8027D"/>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428FA"/>
    <w:rsid w:val="7652792C"/>
    <w:rsid w:val="76554CC3"/>
    <w:rsid w:val="766A0E85"/>
    <w:rsid w:val="7670466E"/>
    <w:rsid w:val="7670607A"/>
    <w:rsid w:val="76755E3D"/>
    <w:rsid w:val="767725B3"/>
    <w:rsid w:val="767E7EFF"/>
    <w:rsid w:val="76957293"/>
    <w:rsid w:val="76B528EA"/>
    <w:rsid w:val="76CB2D49"/>
    <w:rsid w:val="76D5261B"/>
    <w:rsid w:val="76DB438D"/>
    <w:rsid w:val="76E65B02"/>
    <w:rsid w:val="76FC6C97"/>
    <w:rsid w:val="77050A54"/>
    <w:rsid w:val="77062C53"/>
    <w:rsid w:val="770D5E61"/>
    <w:rsid w:val="77384726"/>
    <w:rsid w:val="773C78AE"/>
    <w:rsid w:val="773F7346"/>
    <w:rsid w:val="77586DD8"/>
    <w:rsid w:val="775A5F60"/>
    <w:rsid w:val="775B4604"/>
    <w:rsid w:val="776156E3"/>
    <w:rsid w:val="7762556B"/>
    <w:rsid w:val="7765730E"/>
    <w:rsid w:val="77700104"/>
    <w:rsid w:val="777D20D6"/>
    <w:rsid w:val="77923B0E"/>
    <w:rsid w:val="77933B3B"/>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C7C23"/>
    <w:rsid w:val="77DD2CB6"/>
    <w:rsid w:val="77DF5443"/>
    <w:rsid w:val="77E242A0"/>
    <w:rsid w:val="77E2575C"/>
    <w:rsid w:val="77EF6453"/>
    <w:rsid w:val="77F273D8"/>
    <w:rsid w:val="780350F4"/>
    <w:rsid w:val="78067419"/>
    <w:rsid w:val="78074939"/>
    <w:rsid w:val="780A4A7F"/>
    <w:rsid w:val="781F09F2"/>
    <w:rsid w:val="782D3D3A"/>
    <w:rsid w:val="782E0791"/>
    <w:rsid w:val="782E2738"/>
    <w:rsid w:val="78380C42"/>
    <w:rsid w:val="7840274B"/>
    <w:rsid w:val="78557CDE"/>
    <w:rsid w:val="78595382"/>
    <w:rsid w:val="786A06DA"/>
    <w:rsid w:val="787D6B02"/>
    <w:rsid w:val="78864B1F"/>
    <w:rsid w:val="78866D51"/>
    <w:rsid w:val="7888534D"/>
    <w:rsid w:val="788A4367"/>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217ACA"/>
    <w:rsid w:val="7922350F"/>
    <w:rsid w:val="792B5470"/>
    <w:rsid w:val="792D0059"/>
    <w:rsid w:val="793144E1"/>
    <w:rsid w:val="79466A05"/>
    <w:rsid w:val="79491FB8"/>
    <w:rsid w:val="79614DB5"/>
    <w:rsid w:val="7967689B"/>
    <w:rsid w:val="7968243D"/>
    <w:rsid w:val="796B3C3F"/>
    <w:rsid w:val="796C6412"/>
    <w:rsid w:val="7973541D"/>
    <w:rsid w:val="79761752"/>
    <w:rsid w:val="7978646D"/>
    <w:rsid w:val="797A6567"/>
    <w:rsid w:val="797F66F8"/>
    <w:rsid w:val="798168FA"/>
    <w:rsid w:val="79952007"/>
    <w:rsid w:val="79956BD5"/>
    <w:rsid w:val="799622B5"/>
    <w:rsid w:val="799803E3"/>
    <w:rsid w:val="79A24E0A"/>
    <w:rsid w:val="79A35FDF"/>
    <w:rsid w:val="79A66350"/>
    <w:rsid w:val="79A757A5"/>
    <w:rsid w:val="79BD7948"/>
    <w:rsid w:val="79D00BAF"/>
    <w:rsid w:val="79D22D8D"/>
    <w:rsid w:val="79D34806"/>
    <w:rsid w:val="79E00B0E"/>
    <w:rsid w:val="79E17235"/>
    <w:rsid w:val="79E302A2"/>
    <w:rsid w:val="79E3467D"/>
    <w:rsid w:val="79E8341B"/>
    <w:rsid w:val="79EE7E78"/>
    <w:rsid w:val="79FF3899"/>
    <w:rsid w:val="7A077084"/>
    <w:rsid w:val="7A1601DC"/>
    <w:rsid w:val="7A1C0596"/>
    <w:rsid w:val="7A2A7EF1"/>
    <w:rsid w:val="7A33417F"/>
    <w:rsid w:val="7A3758D0"/>
    <w:rsid w:val="7A4024A0"/>
    <w:rsid w:val="7A4C3D34"/>
    <w:rsid w:val="7A522743"/>
    <w:rsid w:val="7A554FA8"/>
    <w:rsid w:val="7A647EE2"/>
    <w:rsid w:val="7A6648DE"/>
    <w:rsid w:val="7A703C40"/>
    <w:rsid w:val="7A7725FA"/>
    <w:rsid w:val="7A795AFD"/>
    <w:rsid w:val="7A7E1615"/>
    <w:rsid w:val="7A7E35FC"/>
    <w:rsid w:val="7A890316"/>
    <w:rsid w:val="7A8E63F6"/>
    <w:rsid w:val="7A8F711B"/>
    <w:rsid w:val="7A905722"/>
    <w:rsid w:val="7A932C49"/>
    <w:rsid w:val="7A9367CB"/>
    <w:rsid w:val="7A937059"/>
    <w:rsid w:val="7A9A0280"/>
    <w:rsid w:val="7A9B522E"/>
    <w:rsid w:val="7AA5702C"/>
    <w:rsid w:val="7AA6549B"/>
    <w:rsid w:val="7AA65C86"/>
    <w:rsid w:val="7AAE3BAD"/>
    <w:rsid w:val="7AB236D8"/>
    <w:rsid w:val="7AB26F5C"/>
    <w:rsid w:val="7AC5017B"/>
    <w:rsid w:val="7AC56B0A"/>
    <w:rsid w:val="7ADA2578"/>
    <w:rsid w:val="7AE168A3"/>
    <w:rsid w:val="7AE7798E"/>
    <w:rsid w:val="7AF01F55"/>
    <w:rsid w:val="7AF22571"/>
    <w:rsid w:val="7AF976D0"/>
    <w:rsid w:val="7AFD5FD5"/>
    <w:rsid w:val="7B0720CF"/>
    <w:rsid w:val="7B0F238A"/>
    <w:rsid w:val="7B161C9A"/>
    <w:rsid w:val="7B260B4E"/>
    <w:rsid w:val="7B302A2E"/>
    <w:rsid w:val="7B3235F6"/>
    <w:rsid w:val="7B361733"/>
    <w:rsid w:val="7B4C0AD3"/>
    <w:rsid w:val="7B4C0E47"/>
    <w:rsid w:val="7B5F5E1A"/>
    <w:rsid w:val="7B6820B2"/>
    <w:rsid w:val="7B69224B"/>
    <w:rsid w:val="7B855957"/>
    <w:rsid w:val="7B8D2142"/>
    <w:rsid w:val="7B8E3ADA"/>
    <w:rsid w:val="7B9337D7"/>
    <w:rsid w:val="7B974B83"/>
    <w:rsid w:val="7BB20BB7"/>
    <w:rsid w:val="7BB26AFF"/>
    <w:rsid w:val="7BB64C4D"/>
    <w:rsid w:val="7BC36A75"/>
    <w:rsid w:val="7BCF11FE"/>
    <w:rsid w:val="7BD44AB5"/>
    <w:rsid w:val="7BDA0579"/>
    <w:rsid w:val="7BE80F25"/>
    <w:rsid w:val="7BEF6963"/>
    <w:rsid w:val="7C106E98"/>
    <w:rsid w:val="7C1428D3"/>
    <w:rsid w:val="7C1C35A7"/>
    <w:rsid w:val="7C2C1B15"/>
    <w:rsid w:val="7C3509D3"/>
    <w:rsid w:val="7C357C3A"/>
    <w:rsid w:val="7C39719E"/>
    <w:rsid w:val="7C3C7A60"/>
    <w:rsid w:val="7C45431D"/>
    <w:rsid w:val="7C501E80"/>
    <w:rsid w:val="7C514DD6"/>
    <w:rsid w:val="7C6E59FC"/>
    <w:rsid w:val="7C6F1C61"/>
    <w:rsid w:val="7C6F2735"/>
    <w:rsid w:val="7C6F5781"/>
    <w:rsid w:val="7C911CE1"/>
    <w:rsid w:val="7C914B3E"/>
    <w:rsid w:val="7CA95D92"/>
    <w:rsid w:val="7CAD001B"/>
    <w:rsid w:val="7CC31C08"/>
    <w:rsid w:val="7CD24845"/>
    <w:rsid w:val="7CD53A37"/>
    <w:rsid w:val="7CEB2E8D"/>
    <w:rsid w:val="7CEF4E07"/>
    <w:rsid w:val="7D025527"/>
    <w:rsid w:val="7D0837BF"/>
    <w:rsid w:val="7D1144BC"/>
    <w:rsid w:val="7D146964"/>
    <w:rsid w:val="7D25352B"/>
    <w:rsid w:val="7D2C022A"/>
    <w:rsid w:val="7D2D5A89"/>
    <w:rsid w:val="7D3219D5"/>
    <w:rsid w:val="7D38268C"/>
    <w:rsid w:val="7D4071CA"/>
    <w:rsid w:val="7D535CD7"/>
    <w:rsid w:val="7D541AAE"/>
    <w:rsid w:val="7D567671"/>
    <w:rsid w:val="7D646F16"/>
    <w:rsid w:val="7D6C475E"/>
    <w:rsid w:val="7D79646A"/>
    <w:rsid w:val="7D8561DB"/>
    <w:rsid w:val="7D8A08F0"/>
    <w:rsid w:val="7D9A6837"/>
    <w:rsid w:val="7D9D6CDF"/>
    <w:rsid w:val="7DA17DB6"/>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8059A"/>
    <w:rsid w:val="7E1C215D"/>
    <w:rsid w:val="7E203097"/>
    <w:rsid w:val="7E2F2716"/>
    <w:rsid w:val="7E350D9C"/>
    <w:rsid w:val="7E4435B5"/>
    <w:rsid w:val="7E4E2DEB"/>
    <w:rsid w:val="7E5167F7"/>
    <w:rsid w:val="7E580F62"/>
    <w:rsid w:val="7E5C0C5B"/>
    <w:rsid w:val="7E5D46E7"/>
    <w:rsid w:val="7E5E590F"/>
    <w:rsid w:val="7E5F30E1"/>
    <w:rsid w:val="7E6805CF"/>
    <w:rsid w:val="7E6B3BD4"/>
    <w:rsid w:val="7E6F1FC0"/>
    <w:rsid w:val="7E733D43"/>
    <w:rsid w:val="7E82145A"/>
    <w:rsid w:val="7E935AFB"/>
    <w:rsid w:val="7EA62B29"/>
    <w:rsid w:val="7EBE50B4"/>
    <w:rsid w:val="7EC74689"/>
    <w:rsid w:val="7ECE7610"/>
    <w:rsid w:val="7ECF53BF"/>
    <w:rsid w:val="7ED45EFD"/>
    <w:rsid w:val="7ED71D6B"/>
    <w:rsid w:val="7ED75F84"/>
    <w:rsid w:val="7EE93DFF"/>
    <w:rsid w:val="7EF746DD"/>
    <w:rsid w:val="7EFF756B"/>
    <w:rsid w:val="7F014E9E"/>
    <w:rsid w:val="7F100CEC"/>
    <w:rsid w:val="7F27742A"/>
    <w:rsid w:val="7F29641F"/>
    <w:rsid w:val="7F311F38"/>
    <w:rsid w:val="7F4B5213"/>
    <w:rsid w:val="7F5357F3"/>
    <w:rsid w:val="7F550615"/>
    <w:rsid w:val="7F57044A"/>
    <w:rsid w:val="7F730785"/>
    <w:rsid w:val="7F7A098F"/>
    <w:rsid w:val="7F7B3BE0"/>
    <w:rsid w:val="7F8442A1"/>
    <w:rsid w:val="7F8477C4"/>
    <w:rsid w:val="7F862CC7"/>
    <w:rsid w:val="7F981123"/>
    <w:rsid w:val="7F9C4E6B"/>
    <w:rsid w:val="7F9D7069"/>
    <w:rsid w:val="7FAD3C95"/>
    <w:rsid w:val="7FB65A15"/>
    <w:rsid w:val="7FB9625D"/>
    <w:rsid w:val="7FC32B2C"/>
    <w:rsid w:val="7FC76D8A"/>
    <w:rsid w:val="7FC90A85"/>
    <w:rsid w:val="7FCA4E23"/>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2</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2025-05-09T13:01:11Z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